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95C09" w14:textId="77777777" w:rsidR="002B64AA" w:rsidRDefault="002B64AA" w:rsidP="00887CC4">
      <w:pPr>
        <w:pStyle w:val="Kop1"/>
      </w:pPr>
    </w:p>
    <w:p w14:paraId="1BFAECE0" w14:textId="03D5E59A" w:rsidR="008A2DF1" w:rsidRDefault="00542141" w:rsidP="00D33CA8">
      <w:pPr>
        <w:pStyle w:val="Kop1"/>
        <w:ind w:hanging="851"/>
      </w:pPr>
      <w:r>
        <w:softHyphen/>
      </w:r>
      <w:r>
        <w:softHyphen/>
      </w:r>
      <w:r w:rsidR="007F168E">
        <w:t>Competitor analysis</w:t>
      </w:r>
    </w:p>
    <w:p w14:paraId="44BC97E9" w14:textId="3FD5F75F" w:rsidR="008F02CC" w:rsidRPr="008F02CC" w:rsidRDefault="002E3100" w:rsidP="00D33CA8">
      <w:pPr>
        <w:pStyle w:val="Kop2"/>
        <w:ind w:left="-851"/>
      </w:pPr>
      <w:r>
        <w:rPr>
          <w:noProof/>
        </w:rPr>
        <mc:AlternateContent>
          <mc:Choice Requires="wps">
            <w:drawing>
              <wp:anchor distT="0" distB="0" distL="114300" distR="114300" simplePos="0" relativeHeight="251675648" behindDoc="1" locked="0" layoutInCell="1" allowOverlap="1" wp14:anchorId="189769FB" wp14:editId="5BABCBB4">
                <wp:simplePos x="0" y="0"/>
                <wp:positionH relativeFrom="column">
                  <wp:posOffset>4800600</wp:posOffset>
                </wp:positionH>
                <wp:positionV relativeFrom="paragraph">
                  <wp:posOffset>27305</wp:posOffset>
                </wp:positionV>
                <wp:extent cx="4800600" cy="3429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4800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11C3CD" w14:textId="3D0C6590" w:rsidR="00D02F6A" w:rsidRPr="00843BB2" w:rsidRDefault="00D02F6A" w:rsidP="00D02F6A">
                            <w:pPr>
                              <w:rPr>
                                <w:b/>
                              </w:rPr>
                            </w:pPr>
                            <w:r>
                              <w:rPr>
                                <w:b/>
                              </w:rPr>
                              <w:t xml:space="preserve">Table 1 – </w:t>
                            </w:r>
                            <w:r w:rsidR="002E3100">
                              <w:rPr>
                                <w:b/>
                              </w:rPr>
                              <w:t xml:space="preserve">Import values in the USA, main supplier and regional suppliers in context </w:t>
                            </w:r>
                          </w:p>
                          <w:p w14:paraId="6E91578D" w14:textId="77777777" w:rsidR="00D02F6A" w:rsidRDefault="00D02F6A" w:rsidP="00D02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378pt;margin-top:2.15pt;width:378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dx84CAAAV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" filled="f" stroked="f">
                <v:textbox>
                  <w:txbxContent>
                    <w:p w14:paraId="3211C3CD" w14:textId="3D0C6590" w:rsidR="00D02F6A" w:rsidRPr="00843BB2" w:rsidRDefault="00D02F6A" w:rsidP="00D02F6A">
                      <w:pPr>
                        <w:rPr>
                          <w:b/>
                        </w:rPr>
                      </w:pPr>
                      <w:r>
                        <w:rPr>
                          <w:b/>
                        </w:rPr>
                        <w:t xml:space="preserve">Table 1 – </w:t>
                      </w:r>
                      <w:r w:rsidR="002E3100">
                        <w:rPr>
                          <w:b/>
                        </w:rPr>
                        <w:t xml:space="preserve">Import values in the USA, main supplier and regional suppliers in context </w:t>
                      </w:r>
                    </w:p>
                    <w:p w14:paraId="6E91578D" w14:textId="77777777" w:rsidR="00D02F6A" w:rsidRDefault="00D02F6A" w:rsidP="00D02F6A"/>
                  </w:txbxContent>
                </v:textbox>
              </v:shape>
            </w:pict>
          </mc:Fallback>
        </mc:AlternateContent>
      </w:r>
      <w:r w:rsidR="0007640A">
        <w:t xml:space="preserve">Heterocyclic Compounds with nitrogen hetero-atoms </w:t>
      </w:r>
      <w:r w:rsidR="007F168E">
        <w:t>in Usa</w:t>
      </w:r>
    </w:p>
    <w:tbl>
      <w:tblPr>
        <w:tblStyle w:val="Lichtearcering-accent1"/>
        <w:tblpPr w:leftFromText="180" w:rightFromText="180" w:vertAnchor="page" w:horzAnchor="page" w:tblpX="9210" w:tblpY="2891"/>
        <w:tblW w:w="0" w:type="auto"/>
        <w:tblLook w:val="04A0" w:firstRow="1" w:lastRow="0" w:firstColumn="1" w:lastColumn="0" w:noHBand="0" w:noVBand="1"/>
      </w:tblPr>
      <w:tblGrid>
        <w:gridCol w:w="1146"/>
        <w:gridCol w:w="1512"/>
        <w:gridCol w:w="1151"/>
        <w:gridCol w:w="1417"/>
        <w:gridCol w:w="1542"/>
      </w:tblGrid>
      <w:tr w:rsidR="00117BA1" w:rsidRPr="00B65405" w14:paraId="168C8FB1" w14:textId="77777777" w:rsidTr="00117BA1">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146" w:type="dxa"/>
            <w:shd w:val="clear" w:color="auto" w:fill="F7DD2E"/>
          </w:tcPr>
          <w:p w14:paraId="0FB36DBB" w14:textId="77777777" w:rsidR="00117BA1" w:rsidRPr="00B65405" w:rsidRDefault="00117BA1" w:rsidP="00117BA1">
            <w:pPr>
              <w:rPr>
                <w:noProof/>
                <w:color w:val="auto"/>
                <w:sz w:val="18"/>
                <w:lang w:eastAsia="en-US"/>
              </w:rPr>
            </w:pPr>
            <w:r>
              <w:rPr>
                <w:noProof/>
                <w:color w:val="auto"/>
                <w:sz w:val="18"/>
                <w:lang w:eastAsia="en-US"/>
              </w:rPr>
              <w:t>Supplier</w:t>
            </w:r>
          </w:p>
        </w:tc>
        <w:tc>
          <w:tcPr>
            <w:tcW w:w="1512" w:type="dxa"/>
            <w:shd w:val="clear" w:color="auto" w:fill="F7DD2E"/>
          </w:tcPr>
          <w:p w14:paraId="718563A4" w14:textId="77777777" w:rsidR="00117BA1" w:rsidRPr="00F21E1A" w:rsidRDefault="00117BA1" w:rsidP="00117BA1">
            <w:pPr>
              <w:jc w:val="right"/>
              <w:cnfStyle w:val="100000000000" w:firstRow="1" w:lastRow="0" w:firstColumn="0" w:lastColumn="0" w:oddVBand="0" w:evenVBand="0" w:oddHBand="0" w:evenHBand="0" w:firstRowFirstColumn="0" w:firstRowLastColumn="0" w:lastRowFirstColumn="0" w:lastRowLastColumn="0"/>
              <w:rPr>
                <w:noProof/>
                <w:color w:val="auto"/>
                <w:sz w:val="18"/>
                <w:lang w:eastAsia="en-US"/>
              </w:rPr>
            </w:pPr>
            <w:r w:rsidRPr="00F21E1A">
              <w:rPr>
                <w:noProof/>
                <w:color w:val="auto"/>
                <w:sz w:val="18"/>
                <w:lang w:eastAsia="en-US"/>
              </w:rPr>
              <w:t>Import value in 2015 (</w:t>
            </w:r>
            <w:r>
              <w:rPr>
                <w:noProof/>
                <w:color w:val="auto"/>
                <w:sz w:val="18"/>
                <w:lang w:eastAsia="en-US"/>
              </w:rPr>
              <w:t>thousand</w:t>
            </w:r>
            <w:r w:rsidRPr="00F21E1A">
              <w:rPr>
                <w:noProof/>
                <w:color w:val="auto"/>
                <w:sz w:val="18"/>
                <w:lang w:eastAsia="en-US"/>
              </w:rPr>
              <w:t xml:space="preserve"> USD)</w:t>
            </w:r>
          </w:p>
        </w:tc>
        <w:tc>
          <w:tcPr>
            <w:tcW w:w="1151" w:type="dxa"/>
            <w:shd w:val="clear" w:color="auto" w:fill="F7DD2E"/>
          </w:tcPr>
          <w:p w14:paraId="254C7A13" w14:textId="77777777" w:rsidR="00117BA1" w:rsidRPr="00411CC6" w:rsidRDefault="00117BA1" w:rsidP="00117BA1">
            <w:pPr>
              <w:jc w:val="right"/>
              <w:cnfStyle w:val="100000000000" w:firstRow="1" w:lastRow="0" w:firstColumn="0" w:lastColumn="0" w:oddVBand="0" w:evenVBand="0" w:oddHBand="0" w:evenHBand="0" w:firstRowFirstColumn="0" w:firstRowLastColumn="0" w:lastRowFirstColumn="0" w:lastRowLastColumn="0"/>
              <w:rPr>
                <w:noProof/>
                <w:color w:val="auto"/>
                <w:sz w:val="18"/>
                <w:lang w:eastAsia="en-US"/>
              </w:rPr>
            </w:pPr>
            <w:r w:rsidRPr="00411CC6">
              <w:rPr>
                <w:noProof/>
                <w:color w:val="auto"/>
                <w:sz w:val="18"/>
                <w:lang w:eastAsia="en-US"/>
              </w:rPr>
              <w:t>Market share</w:t>
            </w:r>
          </w:p>
          <w:p w14:paraId="01F3E92C" w14:textId="77777777" w:rsidR="00117BA1" w:rsidRPr="00411CC6" w:rsidRDefault="00117BA1" w:rsidP="00117BA1">
            <w:pPr>
              <w:jc w:val="right"/>
              <w:cnfStyle w:val="100000000000" w:firstRow="1" w:lastRow="0" w:firstColumn="0" w:lastColumn="0" w:oddVBand="0" w:evenVBand="0" w:oddHBand="0" w:evenHBand="0" w:firstRowFirstColumn="0" w:firstRowLastColumn="0" w:lastRowFirstColumn="0" w:lastRowLastColumn="0"/>
              <w:rPr>
                <w:noProof/>
                <w:color w:val="auto"/>
                <w:sz w:val="18"/>
                <w:lang w:eastAsia="en-US"/>
              </w:rPr>
            </w:pPr>
          </w:p>
        </w:tc>
        <w:tc>
          <w:tcPr>
            <w:tcW w:w="1417" w:type="dxa"/>
            <w:shd w:val="clear" w:color="auto" w:fill="F7DD2E"/>
          </w:tcPr>
          <w:p w14:paraId="0544EE4B" w14:textId="77777777" w:rsidR="00117BA1" w:rsidRPr="00F21E1A" w:rsidRDefault="00117BA1" w:rsidP="00117BA1">
            <w:pPr>
              <w:jc w:val="right"/>
              <w:cnfStyle w:val="100000000000" w:firstRow="1" w:lastRow="0" w:firstColumn="0" w:lastColumn="0" w:oddVBand="0" w:evenVBand="0" w:oddHBand="0" w:evenHBand="0" w:firstRowFirstColumn="0" w:firstRowLastColumn="0" w:lastRowFirstColumn="0" w:lastRowLastColumn="0"/>
              <w:rPr>
                <w:noProof/>
                <w:color w:val="auto"/>
                <w:sz w:val="18"/>
                <w:lang w:eastAsia="en-US"/>
              </w:rPr>
            </w:pPr>
            <w:r>
              <w:rPr>
                <w:noProof/>
                <w:color w:val="auto"/>
                <w:sz w:val="18"/>
                <w:lang w:eastAsia="en-US"/>
              </w:rPr>
              <w:t>Average annual growth 11-15</w:t>
            </w:r>
          </w:p>
        </w:tc>
        <w:tc>
          <w:tcPr>
            <w:tcW w:w="1542" w:type="dxa"/>
            <w:shd w:val="clear" w:color="auto" w:fill="F7DD2E"/>
          </w:tcPr>
          <w:p w14:paraId="4076544B" w14:textId="77777777" w:rsidR="00117BA1" w:rsidRPr="00F21E1A" w:rsidRDefault="00117BA1" w:rsidP="00117BA1">
            <w:pPr>
              <w:jc w:val="right"/>
              <w:cnfStyle w:val="100000000000" w:firstRow="1" w:lastRow="0" w:firstColumn="0" w:lastColumn="0" w:oddVBand="0" w:evenVBand="0" w:oddHBand="0" w:evenHBand="0" w:firstRowFirstColumn="0" w:firstRowLastColumn="0" w:lastRowFirstColumn="0" w:lastRowLastColumn="0"/>
              <w:rPr>
                <w:noProof/>
                <w:color w:val="auto"/>
                <w:sz w:val="18"/>
                <w:lang w:eastAsia="en-US"/>
              </w:rPr>
            </w:pPr>
            <w:r>
              <w:rPr>
                <w:noProof/>
                <w:color w:val="auto"/>
                <w:sz w:val="18"/>
                <w:lang w:eastAsia="en-US"/>
              </w:rPr>
              <w:t>Annual growth 2015</w:t>
            </w:r>
          </w:p>
        </w:tc>
      </w:tr>
      <w:tr w:rsidR="00117BA1" w:rsidRPr="00B65405" w14:paraId="592304CE" w14:textId="77777777" w:rsidTr="00117BA1">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146" w:type="dxa"/>
            <w:shd w:val="clear" w:color="auto" w:fill="2396B8"/>
          </w:tcPr>
          <w:p w14:paraId="29712450" w14:textId="77777777" w:rsidR="00117BA1" w:rsidRPr="007208C7" w:rsidRDefault="00117BA1" w:rsidP="00117BA1">
            <w:pPr>
              <w:rPr>
                <w:b w:val="0"/>
                <w:noProof/>
                <w:color w:val="FFFFFF" w:themeColor="background1"/>
                <w:sz w:val="18"/>
                <w:lang w:eastAsia="en-US"/>
              </w:rPr>
            </w:pPr>
            <w:r>
              <w:rPr>
                <w:b w:val="0"/>
                <w:noProof/>
                <w:color w:val="FFFFFF" w:themeColor="background1"/>
                <w:sz w:val="18"/>
                <w:lang w:eastAsia="en-US"/>
              </w:rPr>
              <w:t>Total</w:t>
            </w:r>
          </w:p>
        </w:tc>
        <w:tc>
          <w:tcPr>
            <w:tcW w:w="1512" w:type="dxa"/>
            <w:shd w:val="clear" w:color="auto" w:fill="2396B8"/>
          </w:tcPr>
          <w:p w14:paraId="748ACE93" w14:textId="77777777" w:rsidR="00117BA1" w:rsidRPr="007208C7"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10,848, 849</w:t>
            </w:r>
          </w:p>
        </w:tc>
        <w:tc>
          <w:tcPr>
            <w:tcW w:w="1151" w:type="dxa"/>
            <w:shd w:val="clear" w:color="auto" w:fill="2396B8"/>
          </w:tcPr>
          <w:p w14:paraId="0C23E27A"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p>
        </w:tc>
        <w:tc>
          <w:tcPr>
            <w:tcW w:w="1417" w:type="dxa"/>
            <w:shd w:val="clear" w:color="auto" w:fill="2396B8"/>
          </w:tcPr>
          <w:p w14:paraId="57B42C93" w14:textId="77777777" w:rsidR="00117BA1" w:rsidRPr="007208C7"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p>
        </w:tc>
        <w:tc>
          <w:tcPr>
            <w:tcW w:w="1542" w:type="dxa"/>
            <w:shd w:val="clear" w:color="auto" w:fill="2396B8"/>
          </w:tcPr>
          <w:p w14:paraId="361EDD78" w14:textId="77777777" w:rsidR="00117BA1" w:rsidRPr="007208C7"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p>
        </w:tc>
      </w:tr>
      <w:tr w:rsidR="00117BA1" w:rsidRPr="00B65405" w14:paraId="3EED7C43" w14:textId="77777777" w:rsidTr="00117BA1">
        <w:trPr>
          <w:trHeight w:val="231"/>
        </w:trPr>
        <w:tc>
          <w:tcPr>
            <w:cnfStyle w:val="001000000000" w:firstRow="0" w:lastRow="0" w:firstColumn="1" w:lastColumn="0" w:oddVBand="0" w:evenVBand="0" w:oddHBand="0" w:evenHBand="0" w:firstRowFirstColumn="0" w:firstRowLastColumn="0" w:lastRowFirstColumn="0" w:lastRowLastColumn="0"/>
            <w:tcW w:w="1146" w:type="dxa"/>
            <w:shd w:val="clear" w:color="auto" w:fill="2396B8"/>
          </w:tcPr>
          <w:p w14:paraId="2F7C463A" w14:textId="77777777" w:rsidR="00117BA1" w:rsidRPr="007208C7" w:rsidRDefault="00117BA1" w:rsidP="00117BA1">
            <w:pPr>
              <w:rPr>
                <w:b w:val="0"/>
                <w:noProof/>
                <w:color w:val="FFFFFF" w:themeColor="background1"/>
                <w:sz w:val="18"/>
                <w:lang w:eastAsia="en-US"/>
              </w:rPr>
            </w:pPr>
            <w:r>
              <w:rPr>
                <w:b w:val="0"/>
                <w:noProof/>
                <w:color w:val="FFFFFF" w:themeColor="background1"/>
                <w:sz w:val="18"/>
                <w:lang w:eastAsia="en-US"/>
              </w:rPr>
              <w:t>Ireland</w:t>
            </w:r>
          </w:p>
        </w:tc>
        <w:tc>
          <w:tcPr>
            <w:tcW w:w="1512" w:type="dxa"/>
            <w:shd w:val="clear" w:color="auto" w:fill="2396B8"/>
          </w:tcPr>
          <w:p w14:paraId="4D9EEE6B" w14:textId="77777777" w:rsidR="00117BA1" w:rsidRPr="007208C7"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5,412,566</w:t>
            </w:r>
          </w:p>
        </w:tc>
        <w:tc>
          <w:tcPr>
            <w:tcW w:w="1151" w:type="dxa"/>
            <w:shd w:val="clear" w:color="auto" w:fill="2396B8"/>
          </w:tcPr>
          <w:p w14:paraId="652D666C" w14:textId="77777777" w:rsidR="00117BA1"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49.9</w:t>
            </w:r>
          </w:p>
        </w:tc>
        <w:tc>
          <w:tcPr>
            <w:tcW w:w="1417" w:type="dxa"/>
            <w:shd w:val="clear" w:color="auto" w:fill="2396B8"/>
          </w:tcPr>
          <w:p w14:paraId="19BF1820" w14:textId="77777777" w:rsidR="00117BA1" w:rsidRPr="007208C7"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-11%</w:t>
            </w:r>
          </w:p>
        </w:tc>
        <w:tc>
          <w:tcPr>
            <w:tcW w:w="1542" w:type="dxa"/>
            <w:shd w:val="clear" w:color="auto" w:fill="2396B8"/>
          </w:tcPr>
          <w:p w14:paraId="530D43C3" w14:textId="77777777" w:rsidR="00117BA1" w:rsidRPr="007208C7"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-5%</w:t>
            </w:r>
          </w:p>
        </w:tc>
      </w:tr>
      <w:tr w:rsidR="00117BA1" w:rsidRPr="00B65405" w14:paraId="0262C06B" w14:textId="77777777" w:rsidTr="00117BA1">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146" w:type="dxa"/>
            <w:shd w:val="clear" w:color="auto" w:fill="2396B8"/>
          </w:tcPr>
          <w:p w14:paraId="37C4E9D0" w14:textId="77777777" w:rsidR="00117BA1" w:rsidRDefault="00117BA1" w:rsidP="00117BA1">
            <w:pPr>
              <w:rPr>
                <w:b w:val="0"/>
                <w:noProof/>
                <w:color w:val="FFFFFF" w:themeColor="background1"/>
                <w:sz w:val="18"/>
                <w:lang w:eastAsia="en-US"/>
              </w:rPr>
            </w:pPr>
            <w:r>
              <w:rPr>
                <w:b w:val="0"/>
                <w:noProof/>
                <w:color w:val="FFFFFF" w:themeColor="background1"/>
                <w:sz w:val="18"/>
                <w:lang w:eastAsia="en-US"/>
              </w:rPr>
              <w:t>Brazil</w:t>
            </w:r>
          </w:p>
        </w:tc>
        <w:tc>
          <w:tcPr>
            <w:tcW w:w="1512" w:type="dxa"/>
            <w:shd w:val="clear" w:color="auto" w:fill="2396B8"/>
          </w:tcPr>
          <w:p w14:paraId="184A9161"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58,159</w:t>
            </w:r>
          </w:p>
        </w:tc>
        <w:tc>
          <w:tcPr>
            <w:tcW w:w="1151" w:type="dxa"/>
            <w:shd w:val="clear" w:color="auto" w:fill="2396B8"/>
          </w:tcPr>
          <w:p w14:paraId="7FB7EE48"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0.5</w:t>
            </w:r>
          </w:p>
        </w:tc>
        <w:tc>
          <w:tcPr>
            <w:tcW w:w="1417" w:type="dxa"/>
            <w:shd w:val="clear" w:color="auto" w:fill="2396B8"/>
          </w:tcPr>
          <w:p w14:paraId="4E3D3B43"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1%</w:t>
            </w:r>
          </w:p>
        </w:tc>
        <w:tc>
          <w:tcPr>
            <w:tcW w:w="1542" w:type="dxa"/>
            <w:shd w:val="clear" w:color="auto" w:fill="2396B8"/>
          </w:tcPr>
          <w:p w14:paraId="1E1763F7" w14:textId="77777777" w:rsidR="00117BA1" w:rsidRPr="007208C7"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-20%</w:t>
            </w:r>
          </w:p>
        </w:tc>
      </w:tr>
      <w:tr w:rsidR="00117BA1" w:rsidRPr="00B371E1" w14:paraId="1BC0AF35" w14:textId="77777777" w:rsidTr="00117BA1">
        <w:trPr>
          <w:trHeight w:val="231"/>
        </w:trPr>
        <w:tc>
          <w:tcPr>
            <w:cnfStyle w:val="001000000000" w:firstRow="0" w:lastRow="0" w:firstColumn="1" w:lastColumn="0" w:oddVBand="0" w:evenVBand="0" w:oddHBand="0" w:evenHBand="0" w:firstRowFirstColumn="0" w:firstRowLastColumn="0" w:lastRowFirstColumn="0" w:lastRowLastColumn="0"/>
            <w:tcW w:w="1146" w:type="dxa"/>
            <w:shd w:val="clear" w:color="auto" w:fill="2396B8"/>
          </w:tcPr>
          <w:p w14:paraId="217C7980" w14:textId="77777777" w:rsidR="00117BA1" w:rsidRPr="00D25147" w:rsidRDefault="00117BA1" w:rsidP="00117BA1">
            <w:pPr>
              <w:rPr>
                <w:b w:val="0"/>
                <w:noProof/>
                <w:color w:val="FFFFFF" w:themeColor="background1"/>
                <w:sz w:val="18"/>
                <w:lang w:eastAsia="en-US"/>
              </w:rPr>
            </w:pPr>
            <w:r w:rsidRPr="00D25147">
              <w:rPr>
                <w:b w:val="0"/>
                <w:noProof/>
                <w:color w:val="FFFFFF" w:themeColor="background1"/>
                <w:sz w:val="18"/>
                <w:lang w:eastAsia="en-US"/>
              </w:rPr>
              <w:t>Mexico</w:t>
            </w:r>
          </w:p>
        </w:tc>
        <w:tc>
          <w:tcPr>
            <w:tcW w:w="1512" w:type="dxa"/>
            <w:shd w:val="clear" w:color="auto" w:fill="2396B8"/>
          </w:tcPr>
          <w:p w14:paraId="3F4DF8EC" w14:textId="77777777" w:rsidR="00117BA1" w:rsidRPr="00D25147"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sidRPr="00D25147">
              <w:rPr>
                <w:noProof/>
                <w:color w:val="FFFFFF" w:themeColor="background1"/>
                <w:sz w:val="18"/>
                <w:lang w:eastAsia="en-US"/>
              </w:rPr>
              <w:t>29,362</w:t>
            </w:r>
          </w:p>
        </w:tc>
        <w:tc>
          <w:tcPr>
            <w:tcW w:w="1151" w:type="dxa"/>
            <w:shd w:val="clear" w:color="auto" w:fill="2396B8"/>
          </w:tcPr>
          <w:p w14:paraId="2D5342E9" w14:textId="77777777" w:rsidR="00117BA1" w:rsidRPr="00D25147"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sidRPr="00D25147">
              <w:rPr>
                <w:noProof/>
                <w:color w:val="FFFFFF" w:themeColor="background1"/>
                <w:sz w:val="18"/>
                <w:lang w:eastAsia="en-US"/>
              </w:rPr>
              <w:t>0</w:t>
            </w:r>
            <w:r>
              <w:rPr>
                <w:noProof/>
                <w:color w:val="FFFFFF" w:themeColor="background1"/>
                <w:sz w:val="18"/>
                <w:lang w:eastAsia="en-US"/>
              </w:rPr>
              <w:t>.3</w:t>
            </w:r>
          </w:p>
        </w:tc>
        <w:tc>
          <w:tcPr>
            <w:tcW w:w="1417" w:type="dxa"/>
            <w:shd w:val="clear" w:color="auto" w:fill="2396B8"/>
          </w:tcPr>
          <w:p w14:paraId="6E3AC1EE" w14:textId="77777777" w:rsidR="00117BA1" w:rsidRPr="00D25147"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sidRPr="00D25147">
              <w:rPr>
                <w:noProof/>
                <w:color w:val="FFFFFF" w:themeColor="background1"/>
                <w:sz w:val="18"/>
                <w:lang w:eastAsia="en-US"/>
              </w:rPr>
              <w:t>9%</w:t>
            </w:r>
          </w:p>
        </w:tc>
        <w:tc>
          <w:tcPr>
            <w:tcW w:w="1542" w:type="dxa"/>
            <w:shd w:val="clear" w:color="auto" w:fill="2396B8"/>
          </w:tcPr>
          <w:p w14:paraId="5F2EA6C5" w14:textId="77777777" w:rsidR="00117BA1" w:rsidRPr="00D25147"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sidRPr="00D25147">
              <w:rPr>
                <w:noProof/>
                <w:color w:val="FFFFFF" w:themeColor="background1"/>
                <w:sz w:val="18"/>
                <w:lang w:eastAsia="en-US"/>
              </w:rPr>
              <w:t>39%</w:t>
            </w:r>
          </w:p>
        </w:tc>
      </w:tr>
      <w:tr w:rsidR="00117BA1" w:rsidRPr="00B65405" w14:paraId="6F827B1B" w14:textId="77777777" w:rsidTr="00117BA1">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146" w:type="dxa"/>
            <w:shd w:val="clear" w:color="auto" w:fill="2396B8"/>
          </w:tcPr>
          <w:p w14:paraId="4A0E3D59" w14:textId="77777777" w:rsidR="00117BA1" w:rsidRDefault="00117BA1" w:rsidP="00117BA1">
            <w:pPr>
              <w:rPr>
                <w:b w:val="0"/>
                <w:noProof/>
                <w:color w:val="FFFFFF" w:themeColor="background1"/>
                <w:sz w:val="18"/>
                <w:lang w:eastAsia="en-US"/>
              </w:rPr>
            </w:pPr>
            <w:r>
              <w:rPr>
                <w:b w:val="0"/>
                <w:noProof/>
                <w:color w:val="FFFFFF" w:themeColor="background1"/>
                <w:sz w:val="18"/>
                <w:lang w:eastAsia="en-US"/>
              </w:rPr>
              <w:t>Canada</w:t>
            </w:r>
          </w:p>
        </w:tc>
        <w:tc>
          <w:tcPr>
            <w:tcW w:w="1512" w:type="dxa"/>
            <w:shd w:val="clear" w:color="auto" w:fill="2396B8"/>
          </w:tcPr>
          <w:p w14:paraId="1F5468E9"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24,637</w:t>
            </w:r>
          </w:p>
        </w:tc>
        <w:tc>
          <w:tcPr>
            <w:tcW w:w="1151" w:type="dxa"/>
            <w:shd w:val="clear" w:color="auto" w:fill="2396B8"/>
          </w:tcPr>
          <w:p w14:paraId="04496380"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0.2</w:t>
            </w:r>
          </w:p>
        </w:tc>
        <w:tc>
          <w:tcPr>
            <w:tcW w:w="1417" w:type="dxa"/>
            <w:shd w:val="clear" w:color="auto" w:fill="2396B8"/>
          </w:tcPr>
          <w:p w14:paraId="0E7AE977"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-8%</w:t>
            </w:r>
          </w:p>
        </w:tc>
        <w:tc>
          <w:tcPr>
            <w:tcW w:w="1542" w:type="dxa"/>
            <w:shd w:val="clear" w:color="auto" w:fill="2396B8"/>
          </w:tcPr>
          <w:p w14:paraId="1C5B240B" w14:textId="77777777" w:rsidR="00117BA1" w:rsidRPr="007208C7"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-4%</w:t>
            </w:r>
          </w:p>
        </w:tc>
      </w:tr>
      <w:tr w:rsidR="00117BA1" w:rsidRPr="00B65405" w14:paraId="586BF560" w14:textId="77777777" w:rsidTr="00117BA1">
        <w:trPr>
          <w:trHeight w:val="231"/>
        </w:trPr>
        <w:tc>
          <w:tcPr>
            <w:cnfStyle w:val="001000000000" w:firstRow="0" w:lastRow="0" w:firstColumn="1" w:lastColumn="0" w:oddVBand="0" w:evenVBand="0" w:oddHBand="0" w:evenHBand="0" w:firstRowFirstColumn="0" w:firstRowLastColumn="0" w:lastRowFirstColumn="0" w:lastRowLastColumn="0"/>
            <w:tcW w:w="1146" w:type="dxa"/>
            <w:shd w:val="clear" w:color="auto" w:fill="2396B8"/>
          </w:tcPr>
          <w:p w14:paraId="7BB9B517" w14:textId="77777777" w:rsidR="00117BA1" w:rsidRDefault="00117BA1" w:rsidP="00117BA1">
            <w:pPr>
              <w:rPr>
                <w:b w:val="0"/>
                <w:noProof/>
                <w:color w:val="FFFFFF" w:themeColor="background1"/>
                <w:sz w:val="18"/>
                <w:lang w:eastAsia="en-US"/>
              </w:rPr>
            </w:pPr>
            <w:r>
              <w:rPr>
                <w:b w:val="0"/>
                <w:noProof/>
                <w:color w:val="FFFFFF" w:themeColor="background1"/>
                <w:sz w:val="18"/>
                <w:lang w:eastAsia="en-US"/>
              </w:rPr>
              <w:t>Argentina</w:t>
            </w:r>
          </w:p>
        </w:tc>
        <w:tc>
          <w:tcPr>
            <w:tcW w:w="1512" w:type="dxa"/>
            <w:shd w:val="clear" w:color="auto" w:fill="2396B8"/>
          </w:tcPr>
          <w:p w14:paraId="1E651DFB" w14:textId="77777777" w:rsidR="00117BA1"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7,420</w:t>
            </w:r>
          </w:p>
        </w:tc>
        <w:tc>
          <w:tcPr>
            <w:tcW w:w="1151" w:type="dxa"/>
            <w:shd w:val="clear" w:color="auto" w:fill="2396B8"/>
          </w:tcPr>
          <w:p w14:paraId="283BEBF2" w14:textId="77777777" w:rsidR="00117BA1"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0.1</w:t>
            </w:r>
          </w:p>
        </w:tc>
        <w:tc>
          <w:tcPr>
            <w:tcW w:w="1417" w:type="dxa"/>
            <w:shd w:val="clear" w:color="auto" w:fill="2396B8"/>
          </w:tcPr>
          <w:p w14:paraId="1DD75A83" w14:textId="77777777" w:rsidR="00117BA1"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29%</w:t>
            </w:r>
          </w:p>
        </w:tc>
        <w:tc>
          <w:tcPr>
            <w:tcW w:w="1542" w:type="dxa"/>
            <w:shd w:val="clear" w:color="auto" w:fill="2396B8"/>
          </w:tcPr>
          <w:p w14:paraId="69B824E3" w14:textId="77777777" w:rsidR="00117BA1" w:rsidRPr="007208C7"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8%</w:t>
            </w:r>
          </w:p>
        </w:tc>
      </w:tr>
      <w:tr w:rsidR="00117BA1" w:rsidRPr="00B65405" w14:paraId="325C4216" w14:textId="77777777" w:rsidTr="00117BA1">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146" w:type="dxa"/>
            <w:shd w:val="clear" w:color="auto" w:fill="2396B8"/>
          </w:tcPr>
          <w:p w14:paraId="40B146B5" w14:textId="77777777" w:rsidR="00117BA1" w:rsidRDefault="00117BA1" w:rsidP="00117BA1">
            <w:pPr>
              <w:rPr>
                <w:b w:val="0"/>
                <w:noProof/>
                <w:color w:val="FFFFFF" w:themeColor="background1"/>
                <w:sz w:val="18"/>
                <w:lang w:eastAsia="en-US"/>
              </w:rPr>
            </w:pPr>
            <w:r>
              <w:rPr>
                <w:b w:val="0"/>
                <w:noProof/>
                <w:color w:val="FFFFFF" w:themeColor="background1"/>
                <w:sz w:val="18"/>
                <w:lang w:eastAsia="en-US"/>
              </w:rPr>
              <w:t>Trinidad &amp; Tobago</w:t>
            </w:r>
          </w:p>
        </w:tc>
        <w:tc>
          <w:tcPr>
            <w:tcW w:w="1512" w:type="dxa"/>
            <w:shd w:val="clear" w:color="auto" w:fill="2396B8"/>
          </w:tcPr>
          <w:p w14:paraId="6BF257A1"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4,469</w:t>
            </w:r>
          </w:p>
        </w:tc>
        <w:tc>
          <w:tcPr>
            <w:tcW w:w="1151" w:type="dxa"/>
            <w:shd w:val="clear" w:color="auto" w:fill="2396B8"/>
          </w:tcPr>
          <w:p w14:paraId="4B18BF70"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0</w:t>
            </w:r>
          </w:p>
        </w:tc>
        <w:tc>
          <w:tcPr>
            <w:tcW w:w="1417" w:type="dxa"/>
            <w:shd w:val="clear" w:color="auto" w:fill="2396B8"/>
          </w:tcPr>
          <w:p w14:paraId="0F750096"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-31%</w:t>
            </w:r>
          </w:p>
        </w:tc>
        <w:tc>
          <w:tcPr>
            <w:tcW w:w="1542" w:type="dxa"/>
            <w:shd w:val="clear" w:color="auto" w:fill="2396B8"/>
          </w:tcPr>
          <w:p w14:paraId="16A42641" w14:textId="77777777" w:rsidR="00117BA1" w:rsidRPr="007208C7"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-75%</w:t>
            </w:r>
          </w:p>
        </w:tc>
      </w:tr>
      <w:tr w:rsidR="00117BA1" w:rsidRPr="00B65405" w14:paraId="604BC79D" w14:textId="77777777" w:rsidTr="00117BA1">
        <w:trPr>
          <w:trHeight w:val="231"/>
        </w:trPr>
        <w:tc>
          <w:tcPr>
            <w:cnfStyle w:val="001000000000" w:firstRow="0" w:lastRow="0" w:firstColumn="1" w:lastColumn="0" w:oddVBand="0" w:evenVBand="0" w:oddHBand="0" w:evenHBand="0" w:firstRowFirstColumn="0" w:firstRowLastColumn="0" w:lastRowFirstColumn="0" w:lastRowLastColumn="0"/>
            <w:tcW w:w="1146" w:type="dxa"/>
            <w:shd w:val="clear" w:color="auto" w:fill="2396B8"/>
          </w:tcPr>
          <w:p w14:paraId="186021DB" w14:textId="77777777" w:rsidR="00117BA1" w:rsidRDefault="00117BA1" w:rsidP="00117BA1">
            <w:pPr>
              <w:rPr>
                <w:noProof/>
                <w:color w:val="FFFFFF" w:themeColor="background1"/>
                <w:sz w:val="18"/>
                <w:lang w:eastAsia="en-US"/>
              </w:rPr>
            </w:pPr>
            <w:r>
              <w:rPr>
                <w:noProof/>
                <w:color w:val="FFFFFF" w:themeColor="background1"/>
                <w:sz w:val="18"/>
                <w:lang w:eastAsia="en-US"/>
              </w:rPr>
              <w:t>Bahamas</w:t>
            </w:r>
          </w:p>
        </w:tc>
        <w:tc>
          <w:tcPr>
            <w:tcW w:w="1512" w:type="dxa"/>
            <w:shd w:val="clear" w:color="auto" w:fill="2396B8"/>
          </w:tcPr>
          <w:p w14:paraId="3AFF9C8F" w14:textId="77777777" w:rsidR="00117BA1"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46</w:t>
            </w:r>
          </w:p>
        </w:tc>
        <w:tc>
          <w:tcPr>
            <w:tcW w:w="1151" w:type="dxa"/>
            <w:shd w:val="clear" w:color="auto" w:fill="2396B8"/>
          </w:tcPr>
          <w:p w14:paraId="7B25F728" w14:textId="77777777" w:rsidR="00117BA1"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0</w:t>
            </w:r>
          </w:p>
        </w:tc>
        <w:tc>
          <w:tcPr>
            <w:tcW w:w="1417" w:type="dxa"/>
            <w:shd w:val="clear" w:color="auto" w:fill="2396B8"/>
          </w:tcPr>
          <w:p w14:paraId="7A87B83B" w14:textId="77777777" w:rsidR="00117BA1"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49%</w:t>
            </w:r>
          </w:p>
        </w:tc>
        <w:tc>
          <w:tcPr>
            <w:tcW w:w="1542" w:type="dxa"/>
            <w:shd w:val="clear" w:color="auto" w:fill="2396B8"/>
          </w:tcPr>
          <w:p w14:paraId="43B3B5A1" w14:textId="77777777" w:rsidR="00117BA1" w:rsidRDefault="00117BA1" w:rsidP="00117BA1">
            <w:pPr>
              <w:jc w:val="right"/>
              <w:cnfStyle w:val="000000000000" w:firstRow="0" w:lastRow="0" w:firstColumn="0" w:lastColumn="0" w:oddVBand="0" w:evenVBand="0" w:oddHBand="0"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-25%</w:t>
            </w:r>
          </w:p>
        </w:tc>
      </w:tr>
      <w:tr w:rsidR="00117BA1" w:rsidRPr="00B65405" w14:paraId="375BACC8" w14:textId="77777777" w:rsidTr="00117BA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146" w:type="dxa"/>
            <w:shd w:val="clear" w:color="auto" w:fill="2396B8"/>
          </w:tcPr>
          <w:p w14:paraId="5635C1FA" w14:textId="77777777" w:rsidR="00117BA1" w:rsidRDefault="00117BA1" w:rsidP="00117BA1">
            <w:pPr>
              <w:rPr>
                <w:b w:val="0"/>
                <w:noProof/>
                <w:color w:val="FFFFFF" w:themeColor="background1"/>
                <w:sz w:val="18"/>
                <w:lang w:eastAsia="en-US"/>
              </w:rPr>
            </w:pPr>
            <w:r>
              <w:rPr>
                <w:b w:val="0"/>
                <w:noProof/>
                <w:color w:val="FFFFFF" w:themeColor="background1"/>
                <w:sz w:val="18"/>
                <w:lang w:eastAsia="en-US"/>
              </w:rPr>
              <w:t>Other</w:t>
            </w:r>
          </w:p>
        </w:tc>
        <w:tc>
          <w:tcPr>
            <w:tcW w:w="1512" w:type="dxa"/>
            <w:shd w:val="clear" w:color="auto" w:fill="2396B8"/>
          </w:tcPr>
          <w:p w14:paraId="675F7BE5"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5,312,190</w:t>
            </w:r>
          </w:p>
        </w:tc>
        <w:tc>
          <w:tcPr>
            <w:tcW w:w="1151" w:type="dxa"/>
            <w:shd w:val="clear" w:color="auto" w:fill="2396B8"/>
          </w:tcPr>
          <w:p w14:paraId="5520E57E"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r>
              <w:rPr>
                <w:noProof/>
                <w:color w:val="FFFFFF" w:themeColor="background1"/>
                <w:sz w:val="18"/>
                <w:lang w:eastAsia="en-US"/>
              </w:rPr>
              <w:t>49.0</w:t>
            </w:r>
          </w:p>
        </w:tc>
        <w:tc>
          <w:tcPr>
            <w:tcW w:w="1417" w:type="dxa"/>
            <w:shd w:val="clear" w:color="auto" w:fill="2396B8"/>
          </w:tcPr>
          <w:p w14:paraId="6A1102CA" w14:textId="77777777" w:rsidR="00117BA1"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p>
        </w:tc>
        <w:tc>
          <w:tcPr>
            <w:tcW w:w="1542" w:type="dxa"/>
            <w:shd w:val="clear" w:color="auto" w:fill="2396B8"/>
          </w:tcPr>
          <w:p w14:paraId="29A4EE6E" w14:textId="77777777" w:rsidR="00117BA1" w:rsidRPr="007208C7" w:rsidRDefault="00117BA1" w:rsidP="00117BA1">
            <w:pPr>
              <w:jc w:val="right"/>
              <w:cnfStyle w:val="000000100000" w:firstRow="0" w:lastRow="0" w:firstColumn="0" w:lastColumn="0" w:oddVBand="0" w:evenVBand="0" w:oddHBand="1" w:evenHBand="0" w:firstRowFirstColumn="0" w:firstRowLastColumn="0" w:lastRowFirstColumn="0" w:lastRowLastColumn="0"/>
              <w:rPr>
                <w:noProof/>
                <w:color w:val="FFFFFF" w:themeColor="background1"/>
                <w:sz w:val="18"/>
                <w:lang w:eastAsia="en-US"/>
              </w:rPr>
            </w:pPr>
          </w:p>
        </w:tc>
      </w:tr>
    </w:tbl>
    <w:p w14:paraId="478242CC" w14:textId="5A243D54" w:rsidR="008A2DF1" w:rsidRDefault="00D33CA8" w:rsidP="008A2DF1">
      <w:pPr>
        <w:spacing w:line="276" w:lineRule="auto"/>
        <w:rPr>
          <w:rFonts w:eastAsiaTheme="majorEastAsia" w:cstheme="majorBidi"/>
          <w:b/>
          <w:bCs/>
          <w:caps/>
          <w:color w:val="6C6C6C"/>
          <w:sz w:val="40"/>
          <w:szCs w:val="40"/>
        </w:rPr>
      </w:pPr>
      <w:r>
        <w:rPr>
          <w:noProof/>
        </w:rPr>
        <mc:AlternateContent>
          <mc:Choice Requires="wps">
            <w:drawing>
              <wp:anchor distT="0" distB="0" distL="114300" distR="114300" simplePos="0" relativeHeight="251667456" behindDoc="0" locked="0" layoutInCell="1" allowOverlap="1" wp14:anchorId="0A0F512D" wp14:editId="757C1F33">
                <wp:simplePos x="0" y="0"/>
                <wp:positionH relativeFrom="column">
                  <wp:posOffset>-800100</wp:posOffset>
                </wp:positionH>
                <wp:positionV relativeFrom="paragraph">
                  <wp:posOffset>74295</wp:posOffset>
                </wp:positionV>
                <wp:extent cx="4800600" cy="2715260"/>
                <wp:effectExtent l="0" t="0" r="0" b="2540"/>
                <wp:wrapSquare wrapText="bothSides"/>
                <wp:docPr id="8" name="Text Box 8"/>
                <wp:cNvGraphicFramePr/>
                <a:graphic xmlns:a="http://schemas.openxmlformats.org/drawingml/2006/main">
                  <a:graphicData uri="http://schemas.microsoft.com/office/word/2010/wordprocessingShape">
                    <wps:wsp>
                      <wps:cNvSpPr txBox="1"/>
                      <wps:spPr>
                        <a:xfrm>
                          <a:off x="0" y="0"/>
                          <a:ext cx="4800600" cy="27152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DF2492" w14:textId="2D0B4EC4" w:rsidR="00D02F6A" w:rsidRDefault="00D02F6A" w:rsidP="0007640A">
                            <w:pPr>
                              <w:pStyle w:val="Lijstalinea"/>
                              <w:numPr>
                                <w:ilvl w:val="0"/>
                                <w:numId w:val="10"/>
                              </w:numPr>
                              <w:jc w:val="both"/>
                            </w:pPr>
                            <w:r>
                              <w:t xml:space="preserve">USA imported over 10.8 billion USD of Heterocyclic Compounds with nitrogen </w:t>
                            </w:r>
                            <w:proofErr w:type="gramStart"/>
                            <w:r>
                              <w:t>hetero-atoms</w:t>
                            </w:r>
                            <w:proofErr w:type="gramEnd"/>
                            <w:r>
                              <w:t xml:space="preserve"> in 2015. The Bahamas registered an export value of </w:t>
                            </w:r>
                            <w:r w:rsidR="00F479AA">
                              <w:t>40.3</w:t>
                            </w:r>
                            <w:bookmarkStart w:id="0" w:name="_GoBack"/>
                            <w:bookmarkEnd w:id="0"/>
                            <w:r>
                              <w:t xml:space="preserve"> million USD to the USA market. However, in the USA import statistics, only 46,000 USD is reflected. The difference may be accounted for by re-export from USA bonded warehouse. </w:t>
                            </w:r>
                          </w:p>
                          <w:p w14:paraId="166C4E7B" w14:textId="77777777" w:rsidR="00D02F6A" w:rsidRDefault="00D02F6A" w:rsidP="00173382">
                            <w:pPr>
                              <w:pStyle w:val="Lijstalinea"/>
                              <w:numPr>
                                <w:ilvl w:val="0"/>
                                <w:numId w:val="10"/>
                              </w:numPr>
                              <w:jc w:val="both"/>
                            </w:pPr>
                            <w:r>
                              <w:t xml:space="preserve">Ireland is the largest single exporter to the USA. Total world exports of Ireland reached just over 13 billion USD in 2015. Belgium is another large market for Ireland’s exports at 34% of its total export value. </w:t>
                            </w:r>
                          </w:p>
                          <w:p w14:paraId="7A45DA42" w14:textId="783F9BA8" w:rsidR="00D02F6A" w:rsidRDefault="00D02F6A" w:rsidP="0007640A">
                            <w:pPr>
                              <w:pStyle w:val="Lijstalinea"/>
                              <w:numPr>
                                <w:ilvl w:val="0"/>
                                <w:numId w:val="10"/>
                              </w:numPr>
                              <w:jc w:val="both"/>
                            </w:pPr>
                            <w:r>
                              <w:t>Largest regional competitors for Bahamas include Brazil at 58.2 million USD, Mexico 29.3 million USD and Canada 24.6 million USD. Argentina and Trinidad &amp; Tobago follow at a distance at 7.4 million USD and 4.4 million USD respectively.</w:t>
                            </w:r>
                          </w:p>
                          <w:p w14:paraId="433B9225" w14:textId="67E512AF" w:rsidR="00D02F6A" w:rsidRDefault="00D02F6A" w:rsidP="0007640A">
                            <w:pPr>
                              <w:pStyle w:val="Lijstalinea"/>
                              <w:numPr>
                                <w:ilvl w:val="0"/>
                                <w:numId w:val="10"/>
                              </w:numPr>
                              <w:jc w:val="both"/>
                            </w:pPr>
                            <w:r>
                              <w:t>USA is the second largest market for Brazil. Main market for Brazil is Germany with an export value of 88.7 million USD.</w:t>
                            </w:r>
                          </w:p>
                          <w:p w14:paraId="3C7E2A14" w14:textId="3A6C1C42" w:rsidR="00D02F6A" w:rsidRDefault="00D02F6A" w:rsidP="00173382">
                            <w:pPr>
                              <w:pStyle w:val="Lijstalinea"/>
                              <w:numPr>
                                <w:ilvl w:val="0"/>
                                <w:numId w:val="10"/>
                              </w:numPr>
                              <w:jc w:val="both"/>
                            </w:pPr>
                            <w:r>
                              <w:t>USA is also the second largest market for Mexico. The largest market for Mexico is Canada, at 59 million USD. Colombia is an interesting regional export market for Mexico at a value of 12 million USD.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margin-left:-62.95pt;margin-top:5.85pt;width:378pt;height:21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" filled="f" stroked="f">
                <v:textbox>
                  <w:txbxContent>
                    <w:p w14:paraId="3BDF2492" w14:textId="2D0B4EC4" w:rsidR="00D02F6A" w:rsidRDefault="00D02F6A" w:rsidP="0007640A">
                      <w:pPr>
                        <w:pStyle w:val="Lijstalinea"/>
                        <w:numPr>
                          <w:ilvl w:val="0"/>
                          <w:numId w:val="10"/>
                        </w:numPr>
                        <w:jc w:val="both"/>
                      </w:pPr>
                      <w:r>
                        <w:t xml:space="preserve">USA imported over 10.8 billion USD of Heterocyclic Compounds with nitrogen </w:t>
                      </w:r>
                      <w:proofErr w:type="gramStart"/>
                      <w:r>
                        <w:t>hetero-atoms</w:t>
                      </w:r>
                      <w:proofErr w:type="gramEnd"/>
                      <w:r>
                        <w:t xml:space="preserve"> in 2015. The Bahamas registered an export value of </w:t>
                      </w:r>
                      <w:r w:rsidR="00F479AA">
                        <w:t>40.3</w:t>
                      </w:r>
                      <w:bookmarkStart w:id="1" w:name="_GoBack"/>
                      <w:bookmarkEnd w:id="1"/>
                      <w:r>
                        <w:t xml:space="preserve"> million USD to the USA market. However, in the USA import statistics, only 46,000 USD is reflected. The difference may be accounted for by re-export from USA bonded warehouse. </w:t>
                      </w:r>
                    </w:p>
                    <w:p w14:paraId="166C4E7B" w14:textId="77777777" w:rsidR="00D02F6A" w:rsidRDefault="00D02F6A" w:rsidP="00173382">
                      <w:pPr>
                        <w:pStyle w:val="Lijstalinea"/>
                        <w:numPr>
                          <w:ilvl w:val="0"/>
                          <w:numId w:val="10"/>
                        </w:numPr>
                        <w:jc w:val="both"/>
                      </w:pPr>
                      <w:r>
                        <w:t xml:space="preserve">Ireland is the largest single exporter to the USA. Total world exports of Ireland reached just over 13 billion USD in 2015. Belgium is another large market for Ireland’s exports at 34% of its total export value. </w:t>
                      </w:r>
                    </w:p>
                    <w:p w14:paraId="7A45DA42" w14:textId="783F9BA8" w:rsidR="00D02F6A" w:rsidRDefault="00D02F6A" w:rsidP="0007640A">
                      <w:pPr>
                        <w:pStyle w:val="Lijstalinea"/>
                        <w:numPr>
                          <w:ilvl w:val="0"/>
                          <w:numId w:val="10"/>
                        </w:numPr>
                        <w:jc w:val="both"/>
                      </w:pPr>
                      <w:r>
                        <w:t>Largest regional competitors for Bahamas include Brazil at 58.2 million USD, Mexico 29.3 million USD and Canada 24.6 million USD. Argentina and Trinidad &amp; Tobago follow at a distance at 7.4 million USD and 4.4 million USD respectively.</w:t>
                      </w:r>
                    </w:p>
                    <w:p w14:paraId="433B9225" w14:textId="67E512AF" w:rsidR="00D02F6A" w:rsidRDefault="00D02F6A" w:rsidP="0007640A">
                      <w:pPr>
                        <w:pStyle w:val="Lijstalinea"/>
                        <w:numPr>
                          <w:ilvl w:val="0"/>
                          <w:numId w:val="10"/>
                        </w:numPr>
                        <w:jc w:val="both"/>
                      </w:pPr>
                      <w:r>
                        <w:t>USA is the second largest market for Brazil. Main market for Brazil is Germany with an export value of 88.7 million USD.</w:t>
                      </w:r>
                    </w:p>
                    <w:p w14:paraId="3C7E2A14" w14:textId="3A6C1C42" w:rsidR="00D02F6A" w:rsidRDefault="00D02F6A" w:rsidP="00173382">
                      <w:pPr>
                        <w:pStyle w:val="Lijstalinea"/>
                        <w:numPr>
                          <w:ilvl w:val="0"/>
                          <w:numId w:val="10"/>
                        </w:numPr>
                        <w:jc w:val="both"/>
                      </w:pPr>
                      <w:r>
                        <w:t>USA is also the second largest market for Mexico. The largest market for Mexico is Canada, at 59 million USD. Colombia is an interesting regional export market for Mexico at a value of 12 million USD.</w:t>
                      </w:r>
                    </w:p>
                  </w:txbxContent>
                </v:textbox>
                <w10:wrap type="square"/>
              </v:shape>
            </w:pict>
          </mc:Fallback>
        </mc:AlternateContent>
      </w:r>
    </w:p>
    <w:p w14:paraId="5E1EE2A7" w14:textId="77777777" w:rsidR="00D02F6A" w:rsidRDefault="00D02F6A" w:rsidP="00817D78">
      <w:pPr>
        <w:rPr>
          <w:b/>
          <w:lang w:eastAsia="en-US"/>
        </w:rPr>
      </w:pPr>
    </w:p>
    <w:p w14:paraId="58F2C441" w14:textId="327E0A2F" w:rsidR="00DE0CA3" w:rsidRDefault="00CD7E34" w:rsidP="00CD7E34">
      <w:pPr>
        <w:tabs>
          <w:tab w:val="left" w:pos="8667"/>
        </w:tabs>
        <w:rPr>
          <w:b/>
          <w:lang w:eastAsia="en-US"/>
        </w:rPr>
      </w:pPr>
      <w:r>
        <w:rPr>
          <w:b/>
          <w:lang w:eastAsia="en-US"/>
        </w:rPr>
        <w:tab/>
      </w:r>
    </w:p>
    <w:p w14:paraId="745FCAB3" w14:textId="47FF8FBC" w:rsidR="00DE0CA3" w:rsidRDefault="00DE0CA3" w:rsidP="00817D78">
      <w:pPr>
        <w:rPr>
          <w:b/>
          <w:lang w:eastAsia="en-US"/>
        </w:rPr>
      </w:pPr>
    </w:p>
    <w:p w14:paraId="0002D59D" w14:textId="1B0B3020" w:rsidR="004C049C" w:rsidRDefault="004C049C" w:rsidP="00817D78">
      <w:pPr>
        <w:rPr>
          <w:b/>
          <w:lang w:eastAsia="en-US"/>
        </w:rPr>
      </w:pPr>
    </w:p>
    <w:p w14:paraId="07C99F90" w14:textId="3EC0A423" w:rsidR="004C049C" w:rsidRPr="0005145C" w:rsidRDefault="004C049C" w:rsidP="00817D78">
      <w:pPr>
        <w:rPr>
          <w:b/>
          <w:lang w:eastAsia="en-US"/>
        </w:rPr>
      </w:pPr>
    </w:p>
    <w:p w14:paraId="2468104A" w14:textId="74522850" w:rsidR="00817D78" w:rsidRPr="00AA5DD5" w:rsidRDefault="00817D78" w:rsidP="00817D78">
      <w:pPr>
        <w:rPr>
          <w:b/>
          <w:lang w:eastAsia="en-US"/>
        </w:rPr>
      </w:pPr>
    </w:p>
    <w:p w14:paraId="03C03C3A" w14:textId="7EC3A70B" w:rsidR="004C049C" w:rsidRDefault="004C049C" w:rsidP="00CC4BEE"/>
    <w:p w14:paraId="00D329A8" w14:textId="259F75DF" w:rsidR="004C049C" w:rsidRDefault="004C049C" w:rsidP="00CC4BEE"/>
    <w:p w14:paraId="3FF1C86E" w14:textId="5025EA7C" w:rsidR="004C049C" w:rsidRDefault="00D02F6A" w:rsidP="00CC4BEE">
      <w:r>
        <w:rPr>
          <w:noProof/>
        </w:rPr>
        <mc:AlternateContent>
          <mc:Choice Requires="wps">
            <w:drawing>
              <wp:anchor distT="0" distB="0" distL="114300" distR="114300" simplePos="0" relativeHeight="251673600" behindDoc="0" locked="0" layoutInCell="1" allowOverlap="1" wp14:anchorId="25CDF437" wp14:editId="59A178E7">
                <wp:simplePos x="0" y="0"/>
                <wp:positionH relativeFrom="column">
                  <wp:posOffset>800100</wp:posOffset>
                </wp:positionH>
                <wp:positionV relativeFrom="paragraph">
                  <wp:posOffset>144780</wp:posOffset>
                </wp:positionV>
                <wp:extent cx="2514600" cy="2286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514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8761F9" w14:textId="77777777" w:rsidR="00D02F6A" w:rsidRDefault="00D02F6A" w:rsidP="00D02F6A">
                            <w:r>
                              <w:t xml:space="preserve">Source: </w:t>
                            </w:r>
                            <w:proofErr w:type="spellStart"/>
                            <w:r>
                              <w:t>Trademap</w:t>
                            </w:r>
                            <w:proofErr w:type="spellEnd"/>
                            <w:r>
                              <w:t xml:space="preserve"> (2017).</w:t>
                            </w:r>
                          </w:p>
                          <w:p w14:paraId="4AC63F6F" w14:textId="77777777" w:rsidR="00D02F6A" w:rsidRDefault="00D02F6A" w:rsidP="00D02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63pt;margin-top:11.4pt;width:19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" filled="f" stroked="f">
                <v:textbox>
                  <w:txbxContent>
                    <w:p w14:paraId="1E8761F9" w14:textId="77777777" w:rsidR="00D02F6A" w:rsidRDefault="00D02F6A" w:rsidP="00D02F6A">
                      <w:r>
                        <w:t xml:space="preserve">Source: </w:t>
                      </w:r>
                      <w:proofErr w:type="spellStart"/>
                      <w:r>
                        <w:t>Trademap</w:t>
                      </w:r>
                      <w:proofErr w:type="spellEnd"/>
                      <w:r>
                        <w:t xml:space="preserve"> (2017).</w:t>
                      </w:r>
                    </w:p>
                    <w:p w14:paraId="4AC63F6F" w14:textId="77777777" w:rsidR="00D02F6A" w:rsidRDefault="00D02F6A" w:rsidP="00D02F6A"/>
                  </w:txbxContent>
                </v:textbox>
                <w10:wrap type="square"/>
              </v:shape>
            </w:pict>
          </mc:Fallback>
        </mc:AlternateContent>
      </w:r>
    </w:p>
    <w:p w14:paraId="6AE95446" w14:textId="56EA0344" w:rsidR="00B74FDA" w:rsidRDefault="00B74FDA" w:rsidP="00CC4BEE"/>
    <w:p w14:paraId="5BB05236" w14:textId="652967C6" w:rsidR="004C049C" w:rsidRPr="004C0069" w:rsidRDefault="00F479AA" w:rsidP="00CC4BEE">
      <w:r w:rsidRPr="004D281E">
        <w:rPr>
          <w:noProof/>
        </w:rPr>
        <mc:AlternateContent>
          <mc:Choice Requires="wps">
            <w:drawing>
              <wp:anchor distT="0" distB="0" distL="114300" distR="114300" simplePos="0" relativeHeight="251670528" behindDoc="1" locked="0" layoutInCell="1" allowOverlap="1" wp14:anchorId="1A0029A0" wp14:editId="571D5C48">
                <wp:simplePos x="0" y="0"/>
                <wp:positionH relativeFrom="column">
                  <wp:posOffset>800100</wp:posOffset>
                </wp:positionH>
                <wp:positionV relativeFrom="paragraph">
                  <wp:posOffset>177165</wp:posOffset>
                </wp:positionV>
                <wp:extent cx="4343400" cy="13716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4343400" cy="13716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4B0C97" w14:textId="787449F3" w:rsidR="002E3100" w:rsidRDefault="00D02F6A" w:rsidP="00527D69">
                            <w:pPr>
                              <w:jc w:val="both"/>
                              <w:rPr>
                                <w:sz w:val="22"/>
                                <w:szCs w:val="26"/>
                              </w:rPr>
                            </w:pPr>
                            <w:r>
                              <w:rPr>
                                <w:sz w:val="22"/>
                                <w:szCs w:val="26"/>
                              </w:rPr>
                              <w:t xml:space="preserve">The Bahamas’ primary competition in the USA comes from Argentina, Mexico and Brazil. </w:t>
                            </w:r>
                            <w:r w:rsidR="002E3100">
                              <w:rPr>
                                <w:sz w:val="22"/>
                                <w:szCs w:val="26"/>
                              </w:rPr>
                              <w:t>The performance of thes</w:t>
                            </w:r>
                            <w:r w:rsidR="00F479AA">
                              <w:rPr>
                                <w:sz w:val="22"/>
                                <w:szCs w:val="26"/>
                              </w:rPr>
                              <w:t xml:space="preserve">e countries is to be monitored. Opportunities may be there especially since exporters from The Bahamas can benefit from 0% import tariff (just like Mexico and Canada) whereas imports from Argentina and Brazil are taxed by 4.8%. Exporters from The Bahamas can also explore the other destination markets of these competitors like the Colombian market. </w:t>
                            </w:r>
                            <w:r w:rsidR="002E3100">
                              <w:rPr>
                                <w:sz w:val="22"/>
                                <w:szCs w:val="26"/>
                              </w:rPr>
                              <w:t xml:space="preserve"> </w:t>
                            </w:r>
                          </w:p>
                          <w:p w14:paraId="70A36232" w14:textId="07B9DF10" w:rsidR="00D02F6A" w:rsidRDefault="002E3100" w:rsidP="00527D69">
                            <w:pPr>
                              <w:jc w:val="both"/>
                              <w:rPr>
                                <w:sz w:val="22"/>
                                <w:szCs w:val="26"/>
                              </w:rPr>
                            </w:pPr>
                            <w:r>
                              <w:rPr>
                                <w:sz w:val="22"/>
                                <w:szCs w:val="26"/>
                              </w:rPr>
                              <w:t>.</w:t>
                            </w:r>
                          </w:p>
                          <w:p w14:paraId="73CA1AD2" w14:textId="77777777" w:rsidR="00D02F6A" w:rsidRPr="002F0CA3" w:rsidRDefault="00D02F6A" w:rsidP="004D281E">
                            <w:pPr>
                              <w:rPr>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63pt;margin-top:13.95pt;width:342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" fillcolor="#d8d8d8 [2732]" strokecolor="black [3213]">
                <v:textbox>
                  <w:txbxContent>
                    <w:p w14:paraId="6A4B0C97" w14:textId="787449F3" w:rsidR="002E3100" w:rsidRDefault="00D02F6A" w:rsidP="00527D69">
                      <w:pPr>
                        <w:jc w:val="both"/>
                        <w:rPr>
                          <w:sz w:val="22"/>
                          <w:szCs w:val="26"/>
                        </w:rPr>
                      </w:pPr>
                      <w:r>
                        <w:rPr>
                          <w:sz w:val="22"/>
                          <w:szCs w:val="26"/>
                        </w:rPr>
                        <w:t xml:space="preserve">The Bahamas’ primary competition in the USA comes from Argentina, Mexico and Brazil. </w:t>
                      </w:r>
                      <w:r w:rsidR="002E3100">
                        <w:rPr>
                          <w:sz w:val="22"/>
                          <w:szCs w:val="26"/>
                        </w:rPr>
                        <w:t>The performance of thes</w:t>
                      </w:r>
                      <w:r w:rsidR="00F479AA">
                        <w:rPr>
                          <w:sz w:val="22"/>
                          <w:szCs w:val="26"/>
                        </w:rPr>
                        <w:t xml:space="preserve">e countries is to be monitored. Opportunities may be there especially since exporters from The Bahamas can benefit from 0% import tariff (just like Mexico and Canada) whereas imports from Argentina and Brazil are taxed by 4.8%. Exporters from The Bahamas can also explore the other destination markets of these competitors like the Colombian market. </w:t>
                      </w:r>
                      <w:r w:rsidR="002E3100">
                        <w:rPr>
                          <w:sz w:val="22"/>
                          <w:szCs w:val="26"/>
                        </w:rPr>
                        <w:t xml:space="preserve"> </w:t>
                      </w:r>
                    </w:p>
                    <w:p w14:paraId="70A36232" w14:textId="07B9DF10" w:rsidR="00D02F6A" w:rsidRDefault="002E3100" w:rsidP="00527D69">
                      <w:pPr>
                        <w:jc w:val="both"/>
                        <w:rPr>
                          <w:sz w:val="22"/>
                          <w:szCs w:val="26"/>
                        </w:rPr>
                      </w:pPr>
                      <w:r>
                        <w:rPr>
                          <w:sz w:val="22"/>
                          <w:szCs w:val="26"/>
                        </w:rPr>
                        <w:t>.</w:t>
                      </w:r>
                    </w:p>
                    <w:p w14:paraId="73CA1AD2" w14:textId="77777777" w:rsidR="00D02F6A" w:rsidRPr="002F0CA3" w:rsidRDefault="00D02F6A" w:rsidP="004D281E">
                      <w:pPr>
                        <w:rPr>
                          <w:sz w:val="24"/>
                          <w:szCs w:val="26"/>
                        </w:rPr>
                      </w:pPr>
                    </w:p>
                  </w:txbxContent>
                </v:textbox>
              </v:shape>
            </w:pict>
          </mc:Fallback>
        </mc:AlternateContent>
      </w:r>
      <w:r w:rsidRPr="004D281E">
        <w:rPr>
          <w:noProof/>
        </w:rPr>
        <w:drawing>
          <wp:anchor distT="0" distB="0" distL="114300" distR="114300" simplePos="0" relativeHeight="251671552" behindDoc="0" locked="0" layoutInCell="1" allowOverlap="1" wp14:anchorId="0A307C9C" wp14:editId="007F0E85">
            <wp:simplePos x="0" y="0"/>
            <wp:positionH relativeFrom="column">
              <wp:posOffset>4572000</wp:posOffset>
            </wp:positionH>
            <wp:positionV relativeFrom="paragraph">
              <wp:posOffset>1250315</wp:posOffset>
            </wp:positionV>
            <wp:extent cx="571500" cy="527050"/>
            <wp:effectExtent l="0" t="0" r="12700" b="6350"/>
            <wp:wrapSquare wrapText="bothSides"/>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2F6A">
        <w:rPr>
          <w:b/>
          <w:noProof/>
        </w:rPr>
        <mc:AlternateContent>
          <mc:Choice Requires="wps">
            <w:drawing>
              <wp:anchor distT="0" distB="0" distL="114300" distR="114300" simplePos="0" relativeHeight="251668480" behindDoc="0" locked="0" layoutInCell="1" allowOverlap="1" wp14:anchorId="4DD198E0" wp14:editId="7CC255A2">
                <wp:simplePos x="0" y="0"/>
                <wp:positionH relativeFrom="column">
                  <wp:posOffset>-4914900</wp:posOffset>
                </wp:positionH>
                <wp:positionV relativeFrom="paragraph">
                  <wp:posOffset>666750</wp:posOffset>
                </wp:positionV>
                <wp:extent cx="4838700" cy="1701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838700" cy="1701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73DCF5" w14:textId="59067F1C" w:rsidR="00D02F6A" w:rsidRDefault="00D02F6A" w:rsidP="00117BA1">
                            <w:pPr>
                              <w:pStyle w:val="Lijstalinea"/>
                              <w:numPr>
                                <w:ilvl w:val="0"/>
                                <w:numId w:val="11"/>
                              </w:numPr>
                              <w:jc w:val="both"/>
                            </w:pPr>
                            <w:r>
                              <w:t xml:space="preserve">Among the top five regional exporting countries to the USA for Heterocyclic Compounds with nitrogen </w:t>
                            </w:r>
                            <w:proofErr w:type="gramStart"/>
                            <w:r>
                              <w:t>hetero-atoms</w:t>
                            </w:r>
                            <w:proofErr w:type="gramEnd"/>
                            <w:r>
                              <w:t xml:space="preserve">, three of these countries realized notable declines in 2015 (Brazil, Canada and Trinidad &amp; Tobago). The other two competitors, Mexico and Argentina realized annual growth of 39% and 8%, respectively. </w:t>
                            </w:r>
                          </w:p>
                          <w:p w14:paraId="0A4B2901" w14:textId="5326CE7D" w:rsidR="00D02F6A" w:rsidRDefault="00D02F6A" w:rsidP="00117BA1">
                            <w:pPr>
                              <w:pStyle w:val="Lijstalinea"/>
                              <w:numPr>
                                <w:ilvl w:val="0"/>
                                <w:numId w:val="11"/>
                              </w:numPr>
                              <w:jc w:val="both"/>
                            </w:pPr>
                            <w:r>
                              <w:t xml:space="preserve">Looking at the trend over 2011-2015, only Argentina, Mexico and Brazil reached positive growth rates on average per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386.95pt;margin-top:52.5pt;width:381pt;height: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" filled="f" stroked="f">
                <v:textbox>
                  <w:txbxContent>
                    <w:p w14:paraId="1E73DCF5" w14:textId="59067F1C" w:rsidR="00D02F6A" w:rsidRDefault="00D02F6A" w:rsidP="00117BA1">
                      <w:pPr>
                        <w:pStyle w:val="Lijstalinea"/>
                        <w:numPr>
                          <w:ilvl w:val="0"/>
                          <w:numId w:val="11"/>
                        </w:numPr>
                        <w:jc w:val="both"/>
                      </w:pPr>
                      <w:r>
                        <w:t xml:space="preserve">Among the top five regional exporting countries to the USA for Heterocyclic Compounds with nitrogen </w:t>
                      </w:r>
                      <w:proofErr w:type="gramStart"/>
                      <w:r>
                        <w:t>hetero-atoms</w:t>
                      </w:r>
                      <w:proofErr w:type="gramEnd"/>
                      <w:r>
                        <w:t xml:space="preserve">, three of these countries realized notable declines in 2015 (Brazil, Canada and Trinidad &amp; Tobago). The other two competitors, Mexico and Argentina realized annual growth of 39% and 8%, respectively. </w:t>
                      </w:r>
                    </w:p>
                    <w:p w14:paraId="0A4B2901" w14:textId="5326CE7D" w:rsidR="00D02F6A" w:rsidRDefault="00D02F6A" w:rsidP="00117BA1">
                      <w:pPr>
                        <w:pStyle w:val="Lijstalinea"/>
                        <w:numPr>
                          <w:ilvl w:val="0"/>
                          <w:numId w:val="11"/>
                        </w:numPr>
                        <w:jc w:val="both"/>
                      </w:pPr>
                      <w:r>
                        <w:t xml:space="preserve">Looking at the trend over 2011-2015, only Argentina, Mexico and Brazil reached positive growth rates on average per year. </w:t>
                      </w:r>
                    </w:p>
                  </w:txbxContent>
                </v:textbox>
                <w10:wrap type="square"/>
              </v:shape>
            </w:pict>
          </mc:Fallback>
        </mc:AlternateContent>
      </w:r>
      <w:r w:rsidR="0007640A">
        <w:rPr>
          <w:b/>
          <w:noProof/>
        </w:rPr>
        <mc:AlternateContent>
          <mc:Choice Requires="wps">
            <w:drawing>
              <wp:anchor distT="0" distB="0" distL="114300" distR="114300" simplePos="0" relativeHeight="251665408" behindDoc="0" locked="0" layoutInCell="1" allowOverlap="1" wp14:anchorId="7E719EC4" wp14:editId="5703B1E5">
                <wp:simplePos x="0" y="0"/>
                <wp:positionH relativeFrom="column">
                  <wp:posOffset>788670</wp:posOffset>
                </wp:positionH>
                <wp:positionV relativeFrom="paragraph">
                  <wp:posOffset>3637280</wp:posOffset>
                </wp:positionV>
                <wp:extent cx="20574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574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FAB21" w14:textId="2A898CA7" w:rsidR="00D02F6A" w:rsidRDefault="00D02F6A" w:rsidP="00323015">
                            <w:r>
                              <w:t xml:space="preserve">Source: </w:t>
                            </w:r>
                            <w:proofErr w:type="spellStart"/>
                            <w:r>
                              <w:t>Trademap</w:t>
                            </w:r>
                            <w:proofErr w:type="spellEnd"/>
                            <w:r>
                              <w:t xml:space="preserve"> (March,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9" type="#_x0000_t202" style="position:absolute;margin-left:62.1pt;margin-top:286.4pt;width:162pt;height:1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" filled="f" stroked="f">
                <v:textbox>
                  <w:txbxContent>
                    <w:p w14:paraId="32AFAB21" w14:textId="2A898CA7" w:rsidR="005F742A" w:rsidRDefault="005F742A" w:rsidP="00323015">
                      <w:r>
                        <w:t xml:space="preserve">Source: </w:t>
                      </w:r>
                      <w:proofErr w:type="spellStart"/>
                      <w:r>
                        <w:t>Trademap</w:t>
                      </w:r>
                      <w:proofErr w:type="spellEnd"/>
                      <w:r>
                        <w:t xml:space="preserve"> (</w:t>
                      </w:r>
                      <w:r w:rsidR="0007640A">
                        <w:t>March</w:t>
                      </w:r>
                      <w:r>
                        <w:t>, 2017).</w:t>
                      </w:r>
                    </w:p>
                  </w:txbxContent>
                </v:textbox>
              </v:shape>
            </w:pict>
          </mc:Fallback>
        </mc:AlternateContent>
      </w:r>
      <w:r w:rsidR="00411CC6">
        <w:rPr>
          <w:b/>
          <w:noProof/>
          <w:lang w:eastAsia="en-US"/>
        </w:rPr>
        <w:t xml:space="preserve"> </w:t>
      </w:r>
    </w:p>
    <w:sectPr w:rsidR="004C049C" w:rsidRPr="004C0069" w:rsidSect="00D02F6A">
      <w:footerReference w:type="even" r:id="rId10"/>
      <w:footerReference w:type="default" r:id="rId11"/>
      <w:headerReference w:type="first" r:id="rId12"/>
      <w:footerReference w:type="first" r:id="rId13"/>
      <w:pgSz w:w="16840" w:h="11900" w:orient="landscape"/>
      <w:pgMar w:top="1134" w:right="8335" w:bottom="1134" w:left="1418" w:header="568" w:footer="49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C47D5" w14:textId="77777777" w:rsidR="00D02F6A" w:rsidRDefault="00D02F6A" w:rsidP="00507075">
      <w:r>
        <w:separator/>
      </w:r>
    </w:p>
  </w:endnote>
  <w:endnote w:type="continuationSeparator" w:id="0">
    <w:p w14:paraId="2096340F" w14:textId="77777777" w:rsidR="00D02F6A" w:rsidRDefault="00D02F6A" w:rsidP="0050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News Gothic MT">
    <w:panose1 w:val="020B05040202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11C2F" w14:textId="77777777" w:rsidR="00D02F6A" w:rsidRDefault="00D02F6A" w:rsidP="00F1541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030707" w14:textId="77777777" w:rsidR="00D02F6A" w:rsidRDefault="00D02F6A" w:rsidP="0003340E">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0FD08" w14:textId="77777777" w:rsidR="00D02F6A" w:rsidRDefault="00D02F6A" w:rsidP="00F1541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63F80567" w14:textId="77777777" w:rsidR="00D02F6A" w:rsidRDefault="00D02F6A" w:rsidP="0003340E">
    <w:pPr>
      <w:pStyle w:val="Voetteks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39CD3" w14:textId="77777777" w:rsidR="00D02F6A" w:rsidRDefault="00D02F6A" w:rsidP="004E0ACD">
    <w:pPr>
      <w:pStyle w:val="Voettekst"/>
      <w:framePr w:wrap="around" w:vAnchor="text" w:hAnchor="page" w:x="15099" w:y="195"/>
      <w:rPr>
        <w:rStyle w:val="Paginanummer"/>
      </w:rPr>
    </w:pPr>
    <w:r>
      <w:rPr>
        <w:rStyle w:val="Paginanummer"/>
      </w:rPr>
      <w:fldChar w:fldCharType="begin"/>
    </w:r>
    <w:r>
      <w:rPr>
        <w:rStyle w:val="Paginanummer"/>
      </w:rPr>
      <w:instrText xml:space="preserve">PAGE  </w:instrText>
    </w:r>
    <w:r>
      <w:rPr>
        <w:rStyle w:val="Paginanummer"/>
      </w:rPr>
      <w:fldChar w:fldCharType="separate"/>
    </w:r>
    <w:r w:rsidR="00020BFC">
      <w:rPr>
        <w:rStyle w:val="Paginanummer"/>
        <w:noProof/>
      </w:rPr>
      <w:t>1</w:t>
    </w:r>
    <w:r>
      <w:rPr>
        <w:rStyle w:val="Paginanummer"/>
      </w:rPr>
      <w:fldChar w:fldCharType="end"/>
    </w:r>
  </w:p>
  <w:p w14:paraId="24B43A26" w14:textId="77777777" w:rsidR="00D02F6A" w:rsidRDefault="00D02F6A" w:rsidP="004E0ACD">
    <w:pPr>
      <w:pStyle w:val="Voettekst"/>
      <w:ind w:right="360"/>
    </w:pPr>
  </w:p>
  <w:p w14:paraId="4D672A59" w14:textId="77777777" w:rsidR="00D02F6A" w:rsidRDefault="00D02F6A" w:rsidP="00507075">
    <w:pPr>
      <w:pStyle w:val="Voettekst"/>
    </w:pPr>
    <w:r w:rsidRPr="00B74FDA">
      <w:t xml:space="preserve">Bahamas Trade Info Portal – </w:t>
    </w:r>
    <w:hyperlink r:id="rId1" w:history="1">
      <w:r w:rsidRPr="00B66189">
        <w:rPr>
          <w:rStyle w:val="Hyperlink"/>
        </w:rPr>
        <w:t>www.bahamastradeinfo.gov.bs</w:t>
      </w:r>
    </w:hyperlink>
    <w:r>
      <w:t xml:space="preserve">                   </w:t>
    </w:r>
  </w:p>
  <w:p w14:paraId="31278212" w14:textId="1C1ABAC6" w:rsidR="00D02F6A" w:rsidRPr="003E0A54" w:rsidRDefault="00D02F6A" w:rsidP="00507075">
    <w:pPr>
      <w:pStyle w:val="Voettekst"/>
    </w:pPr>
    <w:r>
      <w:t>HS code: 2933 | Publication date: 15 March 2017</w:t>
    </w:r>
    <w:r w:rsidRPr="003E0A54">
      <w:tab/>
    </w:r>
    <w:r w:rsidRPr="003E0A54">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9EBB9" w14:textId="77777777" w:rsidR="00D02F6A" w:rsidRDefault="00D02F6A" w:rsidP="00507075">
      <w:r>
        <w:separator/>
      </w:r>
    </w:p>
  </w:footnote>
  <w:footnote w:type="continuationSeparator" w:id="0">
    <w:p w14:paraId="3E270582" w14:textId="77777777" w:rsidR="00D02F6A" w:rsidRDefault="00D02F6A" w:rsidP="005070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F5FC" w14:textId="4B9FEA57" w:rsidR="00D02F6A" w:rsidRDefault="00D02F6A" w:rsidP="00507075">
    <w:pPr>
      <w:pStyle w:val="Koptekst"/>
    </w:pPr>
    <w:r w:rsidRPr="002B64AA">
      <w:rPr>
        <w:noProof/>
      </w:rPr>
      <w:drawing>
        <wp:anchor distT="0" distB="0" distL="114300" distR="114300" simplePos="0" relativeHeight="251659264" behindDoc="0" locked="0" layoutInCell="1" allowOverlap="1" wp14:anchorId="50EDEB10" wp14:editId="525FAE63">
          <wp:simplePos x="0" y="0"/>
          <wp:positionH relativeFrom="margin">
            <wp:posOffset>9029700</wp:posOffset>
          </wp:positionH>
          <wp:positionV relativeFrom="margin">
            <wp:posOffset>-571500</wp:posOffset>
          </wp:positionV>
          <wp:extent cx="457200" cy="789940"/>
          <wp:effectExtent l="0" t="0" r="0" b="0"/>
          <wp:wrapSquare wrapText="bothSides"/>
          <wp:docPr id="26" name="Picture 26" descr="Main drive Macbook Herre:private:var:folders:6x:91kcgjkj5698vq7kjwxkr4_h0000gn:T:TemporaryItems:BCCEC-LOGO-ALL-TEX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Main drive Macbook Herre:private:var:folders:6x:91kcgjkj5698vq7kjwxkr4_h0000gn:T:TemporaryItems:BCCEC-LOGO-ALL-TEXT-png.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45720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64AA">
      <w:rPr>
        <w:noProof/>
      </w:rPr>
      <w:drawing>
        <wp:anchor distT="0" distB="0" distL="114300" distR="114300" simplePos="0" relativeHeight="251660288" behindDoc="0" locked="0" layoutInCell="1" allowOverlap="1" wp14:anchorId="3BB1E32F" wp14:editId="32654609">
          <wp:simplePos x="0" y="0"/>
          <wp:positionH relativeFrom="margin">
            <wp:posOffset>8115300</wp:posOffset>
          </wp:positionH>
          <wp:positionV relativeFrom="margin">
            <wp:posOffset>-598170</wp:posOffset>
          </wp:positionV>
          <wp:extent cx="760730" cy="826770"/>
          <wp:effectExtent l="0" t="0" r="1270" b="1143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hamas-small-below.png"/>
                  <pic:cNvPicPr/>
                </pic:nvPicPr>
                <pic:blipFill>
                  <a:blip r:embed="rId2">
                    <a:extLst>
                      <a:ext uri="{28A0092B-C50C-407E-A947-70E740481C1C}">
                        <a14:useLocalDpi xmlns:a14="http://schemas.microsoft.com/office/drawing/2010/main" val="0"/>
                      </a:ext>
                    </a:extLst>
                  </a:blip>
                  <a:stretch>
                    <a:fillRect/>
                  </a:stretch>
                </pic:blipFill>
                <pic:spPr>
                  <a:xfrm>
                    <a:off x="0" y="0"/>
                    <a:ext cx="760730" cy="826770"/>
                  </a:xfrm>
                  <a:prstGeom prst="rect">
                    <a:avLst/>
                  </a:prstGeom>
                </pic:spPr>
              </pic:pic>
            </a:graphicData>
          </a:graphic>
        </wp:anchor>
      </w:drawing>
    </w:r>
    <w:r w:rsidRPr="002B64AA">
      <w:rPr>
        <w:noProof/>
      </w:rPr>
      <w:drawing>
        <wp:anchor distT="0" distB="0" distL="114300" distR="114300" simplePos="0" relativeHeight="251661312" behindDoc="0" locked="0" layoutInCell="1" allowOverlap="1" wp14:anchorId="723C9771" wp14:editId="198AB188">
          <wp:simplePos x="0" y="0"/>
          <wp:positionH relativeFrom="column">
            <wp:posOffset>-571500</wp:posOffset>
          </wp:positionH>
          <wp:positionV relativeFrom="paragraph">
            <wp:posOffset>-212090</wp:posOffset>
          </wp:positionV>
          <wp:extent cx="3197860" cy="548640"/>
          <wp:effectExtent l="0" t="0" r="0" b="1016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ext-calibri.png"/>
                  <pic:cNvPicPr/>
                </pic:nvPicPr>
                <pic:blipFill>
                  <a:blip r:embed="rId3" cstate="screen">
                    <a:extLst>
                      <a:ext uri="{28A0092B-C50C-407E-A947-70E740481C1C}">
                        <a14:useLocalDpi xmlns:a14="http://schemas.microsoft.com/office/drawing/2010/main" val="0"/>
                      </a:ext>
                    </a:extLst>
                  </a:blip>
                  <a:stretch>
                    <a:fillRect/>
                  </a:stretch>
                </pic:blipFill>
                <pic:spPr>
                  <a:xfrm>
                    <a:off x="0" y="0"/>
                    <a:ext cx="3197860"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71FB"/>
    <w:multiLevelType w:val="hybridMultilevel"/>
    <w:tmpl w:val="17E40F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A80988"/>
    <w:multiLevelType w:val="hybridMultilevel"/>
    <w:tmpl w:val="E2603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C35E6"/>
    <w:multiLevelType w:val="hybridMultilevel"/>
    <w:tmpl w:val="C7CC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65DBA"/>
    <w:multiLevelType w:val="hybridMultilevel"/>
    <w:tmpl w:val="C8D07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2E74E8"/>
    <w:multiLevelType w:val="hybridMultilevel"/>
    <w:tmpl w:val="7660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C608F8"/>
    <w:multiLevelType w:val="hybridMultilevel"/>
    <w:tmpl w:val="971A3872"/>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72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0275899"/>
    <w:multiLevelType w:val="hybridMultilevel"/>
    <w:tmpl w:val="909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664F7"/>
    <w:multiLevelType w:val="hybridMultilevel"/>
    <w:tmpl w:val="9B824D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F4ECB"/>
    <w:multiLevelType w:val="hybridMultilevel"/>
    <w:tmpl w:val="155A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487B08"/>
    <w:multiLevelType w:val="hybridMultilevel"/>
    <w:tmpl w:val="765C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70445D"/>
    <w:multiLevelType w:val="hybridMultilevel"/>
    <w:tmpl w:val="EA1A90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7"/>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99"/>
    <w:rsid w:val="000104B7"/>
    <w:rsid w:val="00013BF4"/>
    <w:rsid w:val="00020BFC"/>
    <w:rsid w:val="0003340E"/>
    <w:rsid w:val="0004537D"/>
    <w:rsid w:val="00063477"/>
    <w:rsid w:val="0007640A"/>
    <w:rsid w:val="0008553B"/>
    <w:rsid w:val="0009567D"/>
    <w:rsid w:val="000E2ABC"/>
    <w:rsid w:val="00115FA8"/>
    <w:rsid w:val="00117BA1"/>
    <w:rsid w:val="00127583"/>
    <w:rsid w:val="00132AA6"/>
    <w:rsid w:val="00160F89"/>
    <w:rsid w:val="00173382"/>
    <w:rsid w:val="00191C04"/>
    <w:rsid w:val="00192CE9"/>
    <w:rsid w:val="001C3E27"/>
    <w:rsid w:val="001E003A"/>
    <w:rsid w:val="001F2AF1"/>
    <w:rsid w:val="00212F5A"/>
    <w:rsid w:val="0022566C"/>
    <w:rsid w:val="00246293"/>
    <w:rsid w:val="0025656B"/>
    <w:rsid w:val="00263F05"/>
    <w:rsid w:val="00271581"/>
    <w:rsid w:val="00280275"/>
    <w:rsid w:val="002B2ABF"/>
    <w:rsid w:val="002B5E51"/>
    <w:rsid w:val="002B64AA"/>
    <w:rsid w:val="002C4830"/>
    <w:rsid w:val="002E14B4"/>
    <w:rsid w:val="002E3100"/>
    <w:rsid w:val="002F0CA3"/>
    <w:rsid w:val="00303D08"/>
    <w:rsid w:val="00323015"/>
    <w:rsid w:val="00326127"/>
    <w:rsid w:val="003304DA"/>
    <w:rsid w:val="0033761D"/>
    <w:rsid w:val="0033788B"/>
    <w:rsid w:val="003508F6"/>
    <w:rsid w:val="0038023A"/>
    <w:rsid w:val="003A189D"/>
    <w:rsid w:val="003E0A54"/>
    <w:rsid w:val="003F0B15"/>
    <w:rsid w:val="003F6043"/>
    <w:rsid w:val="003F6638"/>
    <w:rsid w:val="004013AD"/>
    <w:rsid w:val="004028C2"/>
    <w:rsid w:val="00403513"/>
    <w:rsid w:val="00411CC6"/>
    <w:rsid w:val="004139A7"/>
    <w:rsid w:val="004179E8"/>
    <w:rsid w:val="004449CF"/>
    <w:rsid w:val="00460420"/>
    <w:rsid w:val="0048621B"/>
    <w:rsid w:val="00491996"/>
    <w:rsid w:val="004B0FE8"/>
    <w:rsid w:val="004C0069"/>
    <w:rsid w:val="004C049C"/>
    <w:rsid w:val="004D2653"/>
    <w:rsid w:val="004D281E"/>
    <w:rsid w:val="004E0ACD"/>
    <w:rsid w:val="004E459E"/>
    <w:rsid w:val="00504BDA"/>
    <w:rsid w:val="00507075"/>
    <w:rsid w:val="005126E2"/>
    <w:rsid w:val="00514047"/>
    <w:rsid w:val="005176F7"/>
    <w:rsid w:val="00527D69"/>
    <w:rsid w:val="00535C71"/>
    <w:rsid w:val="00542141"/>
    <w:rsid w:val="00573310"/>
    <w:rsid w:val="0058278C"/>
    <w:rsid w:val="005855FF"/>
    <w:rsid w:val="005D77FF"/>
    <w:rsid w:val="005F45EF"/>
    <w:rsid w:val="005F54D2"/>
    <w:rsid w:val="005F742A"/>
    <w:rsid w:val="00610B04"/>
    <w:rsid w:val="006369B1"/>
    <w:rsid w:val="0064328A"/>
    <w:rsid w:val="00664477"/>
    <w:rsid w:val="0066752B"/>
    <w:rsid w:val="00672A03"/>
    <w:rsid w:val="006B1E75"/>
    <w:rsid w:val="006B4575"/>
    <w:rsid w:val="006D6C26"/>
    <w:rsid w:val="006F2B5B"/>
    <w:rsid w:val="006F60D2"/>
    <w:rsid w:val="00701D9C"/>
    <w:rsid w:val="007122E5"/>
    <w:rsid w:val="007208C7"/>
    <w:rsid w:val="00751892"/>
    <w:rsid w:val="00756142"/>
    <w:rsid w:val="007613EB"/>
    <w:rsid w:val="0077748D"/>
    <w:rsid w:val="00782664"/>
    <w:rsid w:val="007841FD"/>
    <w:rsid w:val="00794474"/>
    <w:rsid w:val="007E6E3F"/>
    <w:rsid w:val="007F168E"/>
    <w:rsid w:val="007F7944"/>
    <w:rsid w:val="00815DBD"/>
    <w:rsid w:val="00817D78"/>
    <w:rsid w:val="00841915"/>
    <w:rsid w:val="00843BB2"/>
    <w:rsid w:val="008734FF"/>
    <w:rsid w:val="00886475"/>
    <w:rsid w:val="00887CC4"/>
    <w:rsid w:val="008A2DF1"/>
    <w:rsid w:val="008F02CC"/>
    <w:rsid w:val="009252B3"/>
    <w:rsid w:val="00940193"/>
    <w:rsid w:val="00944418"/>
    <w:rsid w:val="009553F0"/>
    <w:rsid w:val="009730D3"/>
    <w:rsid w:val="009F6F37"/>
    <w:rsid w:val="00A01215"/>
    <w:rsid w:val="00A018FF"/>
    <w:rsid w:val="00A02B63"/>
    <w:rsid w:val="00A1706F"/>
    <w:rsid w:val="00A236C7"/>
    <w:rsid w:val="00A4751D"/>
    <w:rsid w:val="00A5386C"/>
    <w:rsid w:val="00A5649F"/>
    <w:rsid w:val="00A85F33"/>
    <w:rsid w:val="00A9562E"/>
    <w:rsid w:val="00AA73EC"/>
    <w:rsid w:val="00B371E1"/>
    <w:rsid w:val="00B44769"/>
    <w:rsid w:val="00B532B4"/>
    <w:rsid w:val="00B743BB"/>
    <w:rsid w:val="00B74FDA"/>
    <w:rsid w:val="00B81B43"/>
    <w:rsid w:val="00B96747"/>
    <w:rsid w:val="00BA39AB"/>
    <w:rsid w:val="00BC00E9"/>
    <w:rsid w:val="00C06D21"/>
    <w:rsid w:val="00C12C3A"/>
    <w:rsid w:val="00C55403"/>
    <w:rsid w:val="00C67A11"/>
    <w:rsid w:val="00CA20D3"/>
    <w:rsid w:val="00CA3C90"/>
    <w:rsid w:val="00CA5BA2"/>
    <w:rsid w:val="00CB0230"/>
    <w:rsid w:val="00CC1365"/>
    <w:rsid w:val="00CC4BEE"/>
    <w:rsid w:val="00CD7E34"/>
    <w:rsid w:val="00CE2900"/>
    <w:rsid w:val="00D02F6A"/>
    <w:rsid w:val="00D141C0"/>
    <w:rsid w:val="00D25147"/>
    <w:rsid w:val="00D33CA8"/>
    <w:rsid w:val="00D42602"/>
    <w:rsid w:val="00D640C2"/>
    <w:rsid w:val="00D83D99"/>
    <w:rsid w:val="00DA0D28"/>
    <w:rsid w:val="00DB14C1"/>
    <w:rsid w:val="00DD3BA2"/>
    <w:rsid w:val="00DE0CA3"/>
    <w:rsid w:val="00E056F5"/>
    <w:rsid w:val="00E0740B"/>
    <w:rsid w:val="00E216BE"/>
    <w:rsid w:val="00E22004"/>
    <w:rsid w:val="00E3692D"/>
    <w:rsid w:val="00E43C06"/>
    <w:rsid w:val="00E7356B"/>
    <w:rsid w:val="00E9309A"/>
    <w:rsid w:val="00EB4022"/>
    <w:rsid w:val="00EC0374"/>
    <w:rsid w:val="00EC1B07"/>
    <w:rsid w:val="00EE24E2"/>
    <w:rsid w:val="00F12DD1"/>
    <w:rsid w:val="00F15410"/>
    <w:rsid w:val="00F20945"/>
    <w:rsid w:val="00F21E1A"/>
    <w:rsid w:val="00F24711"/>
    <w:rsid w:val="00F31BFB"/>
    <w:rsid w:val="00F46648"/>
    <w:rsid w:val="00F479AA"/>
    <w:rsid w:val="00F60E6A"/>
    <w:rsid w:val="00F9002C"/>
    <w:rsid w:val="00FA7D2D"/>
    <w:rsid w:val="00FD6D1D"/>
    <w:rsid w:val="00FF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34EC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07075"/>
    <w:rPr>
      <w:rFonts w:ascii="Calibri" w:hAnsi="Calibri"/>
      <w:sz w:val="20"/>
    </w:rPr>
  </w:style>
  <w:style w:type="paragraph" w:styleId="Kop1">
    <w:name w:val="heading 1"/>
    <w:basedOn w:val="Normaal"/>
    <w:next w:val="Normaal"/>
    <w:link w:val="Kop1Teken"/>
    <w:uiPriority w:val="9"/>
    <w:qFormat/>
    <w:rsid w:val="00DE0CA3"/>
    <w:pPr>
      <w:keepNext/>
      <w:keepLines/>
      <w:spacing w:before="120"/>
      <w:outlineLvl w:val="0"/>
    </w:pPr>
    <w:rPr>
      <w:rFonts w:eastAsiaTheme="majorEastAsia" w:cstheme="majorBidi"/>
      <w:b/>
      <w:bCs/>
      <w:caps/>
      <w:color w:val="6C6C6C"/>
      <w:sz w:val="40"/>
      <w:szCs w:val="40"/>
    </w:rPr>
  </w:style>
  <w:style w:type="paragraph" w:styleId="Kop2">
    <w:name w:val="heading 2"/>
    <w:basedOn w:val="Normaal"/>
    <w:next w:val="Normaal"/>
    <w:link w:val="Kop2Teken"/>
    <w:uiPriority w:val="9"/>
    <w:unhideWhenUsed/>
    <w:qFormat/>
    <w:rsid w:val="00887CC4"/>
    <w:pPr>
      <w:spacing w:before="120"/>
      <w:outlineLvl w:val="1"/>
    </w:pPr>
    <w:rPr>
      <w:b/>
      <w:bCs/>
      <w:caps/>
      <w:color w:val="595959"/>
      <w:sz w:val="32"/>
      <w:szCs w:val="32"/>
    </w:rPr>
  </w:style>
  <w:style w:type="paragraph" w:styleId="Kop3">
    <w:name w:val="heading 3"/>
    <w:basedOn w:val="Normaal"/>
    <w:next w:val="Normaal"/>
    <w:link w:val="Kop3Teken"/>
    <w:uiPriority w:val="9"/>
    <w:unhideWhenUsed/>
    <w:qFormat/>
    <w:rsid w:val="00507075"/>
    <w:pPr>
      <w:outlineLvl w:val="2"/>
    </w:pPr>
    <w:rPr>
      <w:b/>
    </w:rPr>
  </w:style>
  <w:style w:type="paragraph" w:styleId="Kop4">
    <w:name w:val="heading 4"/>
    <w:basedOn w:val="Normaal"/>
    <w:next w:val="Normaal"/>
    <w:link w:val="Kop4Teken"/>
    <w:uiPriority w:val="9"/>
    <w:unhideWhenUsed/>
    <w:qFormat/>
    <w:rsid w:val="00CE2900"/>
    <w:pPr>
      <w:keepNext/>
      <w:keepLines/>
      <w:spacing w:before="200"/>
      <w:outlineLvl w:val="3"/>
    </w:pPr>
    <w:rPr>
      <w:rFonts w:eastAsiaTheme="majorEastAsia" w:cstheme="majorBidi"/>
      <w:b/>
      <w:bCs/>
      <w:iCs/>
      <w:color w:val="404040"/>
      <w:sz w:val="24"/>
    </w:rPr>
  </w:style>
  <w:style w:type="paragraph" w:styleId="Kop5">
    <w:name w:val="heading 5"/>
    <w:basedOn w:val="Normaal"/>
    <w:next w:val="Normaal"/>
    <w:link w:val="Kop5Teken"/>
    <w:uiPriority w:val="9"/>
    <w:unhideWhenUsed/>
    <w:qFormat/>
    <w:rsid w:val="00CE2900"/>
    <w:pPr>
      <w:keepNext/>
      <w:keepLines/>
      <w:spacing w:before="200"/>
      <w:outlineLvl w:val="4"/>
    </w:pPr>
    <w:rPr>
      <w:rFonts w:eastAsiaTheme="majorEastAsia" w:cstheme="majorBidi"/>
      <w:b/>
      <w:color w:val="404040"/>
    </w:rPr>
  </w:style>
  <w:style w:type="paragraph" w:styleId="Kop6">
    <w:name w:val="heading 6"/>
    <w:basedOn w:val="Normaal"/>
    <w:next w:val="Normaal"/>
    <w:link w:val="Kop6Teken"/>
    <w:uiPriority w:val="9"/>
    <w:unhideWhenUsed/>
    <w:qFormat/>
    <w:rsid w:val="003304DA"/>
    <w:pPr>
      <w:keepNext/>
      <w:keepLines/>
      <w:spacing w:before="200"/>
      <w:outlineLvl w:val="5"/>
    </w:pPr>
    <w:rPr>
      <w:rFonts w:eastAsiaTheme="majorEastAsia" w:cstheme="majorBidi"/>
      <w:b/>
      <w:i/>
      <w:iCs/>
      <w:color w:val="404040"/>
    </w:rPr>
  </w:style>
  <w:style w:type="paragraph" w:styleId="Kop7">
    <w:name w:val="heading 7"/>
    <w:basedOn w:val="Normaal"/>
    <w:next w:val="Normaal"/>
    <w:link w:val="Kop7Teken"/>
    <w:uiPriority w:val="9"/>
    <w:unhideWhenUsed/>
    <w:qFormat/>
    <w:rsid w:val="003304D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66752B"/>
    <w:pPr>
      <w:tabs>
        <w:tab w:val="center" w:pos="4703"/>
        <w:tab w:val="right" w:pos="9406"/>
      </w:tabs>
    </w:pPr>
  </w:style>
  <w:style w:type="character" w:customStyle="1" w:styleId="KoptekstTeken">
    <w:name w:val="Koptekst Teken"/>
    <w:basedOn w:val="Standaardalinea-lettertype"/>
    <w:link w:val="Koptekst"/>
    <w:uiPriority w:val="99"/>
    <w:rsid w:val="0066752B"/>
  </w:style>
  <w:style w:type="paragraph" w:styleId="Voettekst">
    <w:name w:val="footer"/>
    <w:basedOn w:val="Normaal"/>
    <w:link w:val="VoettekstTeken"/>
    <w:uiPriority w:val="99"/>
    <w:unhideWhenUsed/>
    <w:rsid w:val="0066752B"/>
    <w:pPr>
      <w:tabs>
        <w:tab w:val="center" w:pos="4703"/>
        <w:tab w:val="right" w:pos="9406"/>
      </w:tabs>
    </w:pPr>
  </w:style>
  <w:style w:type="character" w:customStyle="1" w:styleId="VoettekstTeken">
    <w:name w:val="Voettekst Teken"/>
    <w:basedOn w:val="Standaardalinea-lettertype"/>
    <w:link w:val="Voettekst"/>
    <w:uiPriority w:val="99"/>
    <w:rsid w:val="0066752B"/>
  </w:style>
  <w:style w:type="paragraph" w:styleId="Ballontekst">
    <w:name w:val="Balloon Text"/>
    <w:basedOn w:val="Normaal"/>
    <w:link w:val="BallontekstTeken"/>
    <w:uiPriority w:val="99"/>
    <w:semiHidden/>
    <w:unhideWhenUsed/>
    <w:rsid w:val="0066752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6752B"/>
    <w:rPr>
      <w:rFonts w:ascii="Lucida Grande" w:hAnsi="Lucida Grande" w:cs="Lucida Grande"/>
      <w:sz w:val="18"/>
      <w:szCs w:val="18"/>
    </w:rPr>
  </w:style>
  <w:style w:type="character" w:customStyle="1" w:styleId="Kop1Teken">
    <w:name w:val="Kop 1 Teken"/>
    <w:basedOn w:val="Standaardalinea-lettertype"/>
    <w:link w:val="Kop1"/>
    <w:uiPriority w:val="9"/>
    <w:rsid w:val="00DE0CA3"/>
    <w:rPr>
      <w:rFonts w:ascii="Calibri" w:eastAsiaTheme="majorEastAsia" w:hAnsi="Calibri" w:cstheme="majorBidi"/>
      <w:b/>
      <w:bCs/>
      <w:caps/>
      <w:color w:val="6C6C6C"/>
      <w:sz w:val="40"/>
      <w:szCs w:val="40"/>
    </w:rPr>
  </w:style>
  <w:style w:type="character" w:customStyle="1" w:styleId="Kop2Teken">
    <w:name w:val="Kop 2 Teken"/>
    <w:basedOn w:val="Standaardalinea-lettertype"/>
    <w:link w:val="Kop2"/>
    <w:uiPriority w:val="9"/>
    <w:rsid w:val="00887CC4"/>
    <w:rPr>
      <w:rFonts w:ascii="Calibri" w:hAnsi="Calibri"/>
      <w:b/>
      <w:bCs/>
      <w:caps/>
      <w:color w:val="595959"/>
      <w:sz w:val="32"/>
      <w:szCs w:val="32"/>
    </w:rPr>
  </w:style>
  <w:style w:type="character" w:customStyle="1" w:styleId="Kop3Teken">
    <w:name w:val="Kop 3 Teken"/>
    <w:basedOn w:val="Standaardalinea-lettertype"/>
    <w:link w:val="Kop3"/>
    <w:uiPriority w:val="9"/>
    <w:rsid w:val="00507075"/>
    <w:rPr>
      <w:rFonts w:ascii="Calibri" w:hAnsi="Calibri"/>
      <w:b/>
      <w:sz w:val="20"/>
    </w:rPr>
  </w:style>
  <w:style w:type="character" w:customStyle="1" w:styleId="Kop4Teken">
    <w:name w:val="Kop 4 Teken"/>
    <w:basedOn w:val="Standaardalinea-lettertype"/>
    <w:link w:val="Kop4"/>
    <w:uiPriority w:val="9"/>
    <w:rsid w:val="00CE2900"/>
    <w:rPr>
      <w:rFonts w:ascii="News Gothic MT" w:eastAsiaTheme="majorEastAsia" w:hAnsi="News Gothic MT" w:cstheme="majorBidi"/>
      <w:b/>
      <w:bCs/>
      <w:iCs/>
      <w:color w:val="404040"/>
    </w:rPr>
  </w:style>
  <w:style w:type="character" w:customStyle="1" w:styleId="Kop5Teken">
    <w:name w:val="Kop 5 Teken"/>
    <w:basedOn w:val="Standaardalinea-lettertype"/>
    <w:link w:val="Kop5"/>
    <w:uiPriority w:val="9"/>
    <w:rsid w:val="00CE2900"/>
    <w:rPr>
      <w:rFonts w:ascii="News Gothic MT" w:eastAsiaTheme="majorEastAsia" w:hAnsi="News Gothic MT" w:cstheme="majorBidi"/>
      <w:b/>
      <w:color w:val="404040"/>
      <w:sz w:val="20"/>
    </w:rPr>
  </w:style>
  <w:style w:type="paragraph" w:styleId="Geenafstand">
    <w:name w:val="No Spacing"/>
    <w:uiPriority w:val="1"/>
    <w:qFormat/>
    <w:rsid w:val="00CE2900"/>
    <w:rPr>
      <w:rFonts w:ascii="News Gothic MT" w:hAnsi="News Gothic MT"/>
      <w:sz w:val="20"/>
    </w:rPr>
  </w:style>
  <w:style w:type="character" w:customStyle="1" w:styleId="Kop6Teken">
    <w:name w:val="Kop 6 Teken"/>
    <w:basedOn w:val="Standaardalinea-lettertype"/>
    <w:link w:val="Kop6"/>
    <w:uiPriority w:val="9"/>
    <w:rsid w:val="003304DA"/>
    <w:rPr>
      <w:rFonts w:ascii="News Gothic MT" w:eastAsiaTheme="majorEastAsia" w:hAnsi="News Gothic MT" w:cstheme="majorBidi"/>
      <w:b/>
      <w:i/>
      <w:iCs/>
      <w:color w:val="404040"/>
      <w:sz w:val="20"/>
    </w:rPr>
  </w:style>
  <w:style w:type="paragraph" w:styleId="Inhopg1">
    <w:name w:val="toc 1"/>
    <w:basedOn w:val="Normaal"/>
    <w:next w:val="Normaal"/>
    <w:autoRedefine/>
    <w:uiPriority w:val="39"/>
    <w:unhideWhenUsed/>
    <w:rsid w:val="003304DA"/>
  </w:style>
  <w:style w:type="paragraph" w:styleId="Inhopg2">
    <w:name w:val="toc 2"/>
    <w:basedOn w:val="Normaal"/>
    <w:next w:val="Normaal"/>
    <w:autoRedefine/>
    <w:uiPriority w:val="39"/>
    <w:unhideWhenUsed/>
    <w:rsid w:val="003304DA"/>
    <w:pPr>
      <w:ind w:left="200"/>
    </w:pPr>
  </w:style>
  <w:style w:type="paragraph" w:styleId="Inhopg3">
    <w:name w:val="toc 3"/>
    <w:basedOn w:val="Normaal"/>
    <w:next w:val="Normaal"/>
    <w:autoRedefine/>
    <w:uiPriority w:val="39"/>
    <w:unhideWhenUsed/>
    <w:rsid w:val="003304DA"/>
    <w:pPr>
      <w:ind w:left="400"/>
    </w:pPr>
  </w:style>
  <w:style w:type="paragraph" w:styleId="Inhopg4">
    <w:name w:val="toc 4"/>
    <w:basedOn w:val="Normaal"/>
    <w:next w:val="Normaal"/>
    <w:autoRedefine/>
    <w:uiPriority w:val="39"/>
    <w:unhideWhenUsed/>
    <w:rsid w:val="003304DA"/>
    <w:pPr>
      <w:ind w:left="600"/>
    </w:pPr>
  </w:style>
  <w:style w:type="paragraph" w:styleId="Inhopg5">
    <w:name w:val="toc 5"/>
    <w:basedOn w:val="Normaal"/>
    <w:next w:val="Normaal"/>
    <w:autoRedefine/>
    <w:uiPriority w:val="39"/>
    <w:unhideWhenUsed/>
    <w:rsid w:val="003304DA"/>
    <w:pPr>
      <w:ind w:left="800"/>
    </w:pPr>
  </w:style>
  <w:style w:type="paragraph" w:styleId="Inhopg6">
    <w:name w:val="toc 6"/>
    <w:basedOn w:val="Normaal"/>
    <w:next w:val="Normaal"/>
    <w:autoRedefine/>
    <w:uiPriority w:val="39"/>
    <w:unhideWhenUsed/>
    <w:rsid w:val="003304DA"/>
    <w:pPr>
      <w:ind w:left="1000"/>
    </w:pPr>
  </w:style>
  <w:style w:type="paragraph" w:styleId="Inhopg7">
    <w:name w:val="toc 7"/>
    <w:basedOn w:val="Normaal"/>
    <w:next w:val="Normaal"/>
    <w:autoRedefine/>
    <w:uiPriority w:val="39"/>
    <w:unhideWhenUsed/>
    <w:rsid w:val="003304DA"/>
    <w:pPr>
      <w:ind w:left="1200"/>
    </w:pPr>
  </w:style>
  <w:style w:type="paragraph" w:styleId="Inhopg8">
    <w:name w:val="toc 8"/>
    <w:basedOn w:val="Normaal"/>
    <w:next w:val="Normaal"/>
    <w:autoRedefine/>
    <w:uiPriority w:val="39"/>
    <w:unhideWhenUsed/>
    <w:rsid w:val="003304DA"/>
    <w:pPr>
      <w:ind w:left="1400"/>
    </w:pPr>
  </w:style>
  <w:style w:type="paragraph" w:styleId="Inhopg9">
    <w:name w:val="toc 9"/>
    <w:basedOn w:val="Normaal"/>
    <w:next w:val="Normaal"/>
    <w:autoRedefine/>
    <w:uiPriority w:val="39"/>
    <w:unhideWhenUsed/>
    <w:rsid w:val="003304DA"/>
    <w:pPr>
      <w:ind w:left="1600"/>
    </w:pPr>
  </w:style>
  <w:style w:type="character" w:customStyle="1" w:styleId="Kop7Teken">
    <w:name w:val="Kop 7 Teken"/>
    <w:basedOn w:val="Standaardalinea-lettertype"/>
    <w:link w:val="Kop7"/>
    <w:uiPriority w:val="9"/>
    <w:rsid w:val="003304DA"/>
    <w:rPr>
      <w:rFonts w:asciiTheme="majorHAnsi" w:eastAsiaTheme="majorEastAsia" w:hAnsiTheme="majorHAnsi" w:cstheme="majorBidi"/>
      <w:i/>
      <w:iCs/>
      <w:color w:val="404040" w:themeColor="text1" w:themeTint="BF"/>
      <w:sz w:val="20"/>
    </w:rPr>
  </w:style>
  <w:style w:type="paragraph" w:styleId="Lijstalinea">
    <w:name w:val="List Paragraph"/>
    <w:basedOn w:val="Normaal"/>
    <w:uiPriority w:val="34"/>
    <w:qFormat/>
    <w:rsid w:val="00573310"/>
    <w:pPr>
      <w:ind w:left="720"/>
      <w:contextualSpacing/>
    </w:pPr>
  </w:style>
  <w:style w:type="character" w:styleId="Hyperlink">
    <w:name w:val="Hyperlink"/>
    <w:basedOn w:val="Standaardalinea-lettertype"/>
    <w:uiPriority w:val="99"/>
    <w:unhideWhenUsed/>
    <w:rsid w:val="003E0A54"/>
    <w:rPr>
      <w:color w:val="0000FF" w:themeColor="hyperlink"/>
      <w:u w:val="single"/>
    </w:rPr>
  </w:style>
  <w:style w:type="character" w:styleId="Paginanummer">
    <w:name w:val="page number"/>
    <w:basedOn w:val="Standaardalinea-lettertype"/>
    <w:uiPriority w:val="99"/>
    <w:semiHidden/>
    <w:unhideWhenUsed/>
    <w:rsid w:val="003E0A54"/>
  </w:style>
  <w:style w:type="paragraph" w:styleId="Lijstmetafbeeldingen">
    <w:name w:val="table of figures"/>
    <w:basedOn w:val="Normaal"/>
    <w:next w:val="Normaal"/>
    <w:uiPriority w:val="99"/>
    <w:unhideWhenUsed/>
    <w:rsid w:val="00507075"/>
  </w:style>
  <w:style w:type="paragraph" w:customStyle="1" w:styleId="TableFigureTitle">
    <w:name w:val="Table &amp; Figure Title"/>
    <w:basedOn w:val="Normaal"/>
    <w:next w:val="Normaal"/>
    <w:qFormat/>
    <w:rsid w:val="00507075"/>
    <w:rPr>
      <w:b/>
      <w:lang w:eastAsia="fr-FR"/>
    </w:rPr>
  </w:style>
  <w:style w:type="table" w:styleId="Lichtearcering-accent1">
    <w:name w:val="Light Shading Accent 1"/>
    <w:basedOn w:val="Standaardtabel"/>
    <w:uiPriority w:val="60"/>
    <w:rsid w:val="00817D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1">
    <w:name w:val="Light List Accent 1"/>
    <w:basedOn w:val="Standaardtabel"/>
    <w:uiPriority w:val="61"/>
    <w:rsid w:val="008A2D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
    <w:name w:val="Light List"/>
    <w:basedOn w:val="Standaardtabel"/>
    <w:uiPriority w:val="61"/>
    <w:rsid w:val="008A2DF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07075"/>
    <w:rPr>
      <w:rFonts w:ascii="Calibri" w:hAnsi="Calibri"/>
      <w:sz w:val="20"/>
    </w:rPr>
  </w:style>
  <w:style w:type="paragraph" w:styleId="Kop1">
    <w:name w:val="heading 1"/>
    <w:basedOn w:val="Normaal"/>
    <w:next w:val="Normaal"/>
    <w:link w:val="Kop1Teken"/>
    <w:uiPriority w:val="9"/>
    <w:qFormat/>
    <w:rsid w:val="00DE0CA3"/>
    <w:pPr>
      <w:keepNext/>
      <w:keepLines/>
      <w:spacing w:before="120"/>
      <w:outlineLvl w:val="0"/>
    </w:pPr>
    <w:rPr>
      <w:rFonts w:eastAsiaTheme="majorEastAsia" w:cstheme="majorBidi"/>
      <w:b/>
      <w:bCs/>
      <w:caps/>
      <w:color w:val="6C6C6C"/>
      <w:sz w:val="40"/>
      <w:szCs w:val="40"/>
    </w:rPr>
  </w:style>
  <w:style w:type="paragraph" w:styleId="Kop2">
    <w:name w:val="heading 2"/>
    <w:basedOn w:val="Normaal"/>
    <w:next w:val="Normaal"/>
    <w:link w:val="Kop2Teken"/>
    <w:uiPriority w:val="9"/>
    <w:unhideWhenUsed/>
    <w:qFormat/>
    <w:rsid w:val="00887CC4"/>
    <w:pPr>
      <w:spacing w:before="120"/>
      <w:outlineLvl w:val="1"/>
    </w:pPr>
    <w:rPr>
      <w:b/>
      <w:bCs/>
      <w:caps/>
      <w:color w:val="595959"/>
      <w:sz w:val="32"/>
      <w:szCs w:val="32"/>
    </w:rPr>
  </w:style>
  <w:style w:type="paragraph" w:styleId="Kop3">
    <w:name w:val="heading 3"/>
    <w:basedOn w:val="Normaal"/>
    <w:next w:val="Normaal"/>
    <w:link w:val="Kop3Teken"/>
    <w:uiPriority w:val="9"/>
    <w:unhideWhenUsed/>
    <w:qFormat/>
    <w:rsid w:val="00507075"/>
    <w:pPr>
      <w:outlineLvl w:val="2"/>
    </w:pPr>
    <w:rPr>
      <w:b/>
    </w:rPr>
  </w:style>
  <w:style w:type="paragraph" w:styleId="Kop4">
    <w:name w:val="heading 4"/>
    <w:basedOn w:val="Normaal"/>
    <w:next w:val="Normaal"/>
    <w:link w:val="Kop4Teken"/>
    <w:uiPriority w:val="9"/>
    <w:unhideWhenUsed/>
    <w:qFormat/>
    <w:rsid w:val="00CE2900"/>
    <w:pPr>
      <w:keepNext/>
      <w:keepLines/>
      <w:spacing w:before="200"/>
      <w:outlineLvl w:val="3"/>
    </w:pPr>
    <w:rPr>
      <w:rFonts w:eastAsiaTheme="majorEastAsia" w:cstheme="majorBidi"/>
      <w:b/>
      <w:bCs/>
      <w:iCs/>
      <w:color w:val="404040"/>
      <w:sz w:val="24"/>
    </w:rPr>
  </w:style>
  <w:style w:type="paragraph" w:styleId="Kop5">
    <w:name w:val="heading 5"/>
    <w:basedOn w:val="Normaal"/>
    <w:next w:val="Normaal"/>
    <w:link w:val="Kop5Teken"/>
    <w:uiPriority w:val="9"/>
    <w:unhideWhenUsed/>
    <w:qFormat/>
    <w:rsid w:val="00CE2900"/>
    <w:pPr>
      <w:keepNext/>
      <w:keepLines/>
      <w:spacing w:before="200"/>
      <w:outlineLvl w:val="4"/>
    </w:pPr>
    <w:rPr>
      <w:rFonts w:eastAsiaTheme="majorEastAsia" w:cstheme="majorBidi"/>
      <w:b/>
      <w:color w:val="404040"/>
    </w:rPr>
  </w:style>
  <w:style w:type="paragraph" w:styleId="Kop6">
    <w:name w:val="heading 6"/>
    <w:basedOn w:val="Normaal"/>
    <w:next w:val="Normaal"/>
    <w:link w:val="Kop6Teken"/>
    <w:uiPriority w:val="9"/>
    <w:unhideWhenUsed/>
    <w:qFormat/>
    <w:rsid w:val="003304DA"/>
    <w:pPr>
      <w:keepNext/>
      <w:keepLines/>
      <w:spacing w:before="200"/>
      <w:outlineLvl w:val="5"/>
    </w:pPr>
    <w:rPr>
      <w:rFonts w:eastAsiaTheme="majorEastAsia" w:cstheme="majorBidi"/>
      <w:b/>
      <w:i/>
      <w:iCs/>
      <w:color w:val="404040"/>
    </w:rPr>
  </w:style>
  <w:style w:type="paragraph" w:styleId="Kop7">
    <w:name w:val="heading 7"/>
    <w:basedOn w:val="Normaal"/>
    <w:next w:val="Normaal"/>
    <w:link w:val="Kop7Teken"/>
    <w:uiPriority w:val="9"/>
    <w:unhideWhenUsed/>
    <w:qFormat/>
    <w:rsid w:val="003304D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66752B"/>
    <w:pPr>
      <w:tabs>
        <w:tab w:val="center" w:pos="4703"/>
        <w:tab w:val="right" w:pos="9406"/>
      </w:tabs>
    </w:pPr>
  </w:style>
  <w:style w:type="character" w:customStyle="1" w:styleId="KoptekstTeken">
    <w:name w:val="Koptekst Teken"/>
    <w:basedOn w:val="Standaardalinea-lettertype"/>
    <w:link w:val="Koptekst"/>
    <w:uiPriority w:val="99"/>
    <w:rsid w:val="0066752B"/>
  </w:style>
  <w:style w:type="paragraph" w:styleId="Voettekst">
    <w:name w:val="footer"/>
    <w:basedOn w:val="Normaal"/>
    <w:link w:val="VoettekstTeken"/>
    <w:uiPriority w:val="99"/>
    <w:unhideWhenUsed/>
    <w:rsid w:val="0066752B"/>
    <w:pPr>
      <w:tabs>
        <w:tab w:val="center" w:pos="4703"/>
        <w:tab w:val="right" w:pos="9406"/>
      </w:tabs>
    </w:pPr>
  </w:style>
  <w:style w:type="character" w:customStyle="1" w:styleId="VoettekstTeken">
    <w:name w:val="Voettekst Teken"/>
    <w:basedOn w:val="Standaardalinea-lettertype"/>
    <w:link w:val="Voettekst"/>
    <w:uiPriority w:val="99"/>
    <w:rsid w:val="0066752B"/>
  </w:style>
  <w:style w:type="paragraph" w:styleId="Ballontekst">
    <w:name w:val="Balloon Text"/>
    <w:basedOn w:val="Normaal"/>
    <w:link w:val="BallontekstTeken"/>
    <w:uiPriority w:val="99"/>
    <w:semiHidden/>
    <w:unhideWhenUsed/>
    <w:rsid w:val="0066752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6752B"/>
    <w:rPr>
      <w:rFonts w:ascii="Lucida Grande" w:hAnsi="Lucida Grande" w:cs="Lucida Grande"/>
      <w:sz w:val="18"/>
      <w:szCs w:val="18"/>
    </w:rPr>
  </w:style>
  <w:style w:type="character" w:customStyle="1" w:styleId="Kop1Teken">
    <w:name w:val="Kop 1 Teken"/>
    <w:basedOn w:val="Standaardalinea-lettertype"/>
    <w:link w:val="Kop1"/>
    <w:uiPriority w:val="9"/>
    <w:rsid w:val="00DE0CA3"/>
    <w:rPr>
      <w:rFonts w:ascii="Calibri" w:eastAsiaTheme="majorEastAsia" w:hAnsi="Calibri" w:cstheme="majorBidi"/>
      <w:b/>
      <w:bCs/>
      <w:caps/>
      <w:color w:val="6C6C6C"/>
      <w:sz w:val="40"/>
      <w:szCs w:val="40"/>
    </w:rPr>
  </w:style>
  <w:style w:type="character" w:customStyle="1" w:styleId="Kop2Teken">
    <w:name w:val="Kop 2 Teken"/>
    <w:basedOn w:val="Standaardalinea-lettertype"/>
    <w:link w:val="Kop2"/>
    <w:uiPriority w:val="9"/>
    <w:rsid w:val="00887CC4"/>
    <w:rPr>
      <w:rFonts w:ascii="Calibri" w:hAnsi="Calibri"/>
      <w:b/>
      <w:bCs/>
      <w:caps/>
      <w:color w:val="595959"/>
      <w:sz w:val="32"/>
      <w:szCs w:val="32"/>
    </w:rPr>
  </w:style>
  <w:style w:type="character" w:customStyle="1" w:styleId="Kop3Teken">
    <w:name w:val="Kop 3 Teken"/>
    <w:basedOn w:val="Standaardalinea-lettertype"/>
    <w:link w:val="Kop3"/>
    <w:uiPriority w:val="9"/>
    <w:rsid w:val="00507075"/>
    <w:rPr>
      <w:rFonts w:ascii="Calibri" w:hAnsi="Calibri"/>
      <w:b/>
      <w:sz w:val="20"/>
    </w:rPr>
  </w:style>
  <w:style w:type="character" w:customStyle="1" w:styleId="Kop4Teken">
    <w:name w:val="Kop 4 Teken"/>
    <w:basedOn w:val="Standaardalinea-lettertype"/>
    <w:link w:val="Kop4"/>
    <w:uiPriority w:val="9"/>
    <w:rsid w:val="00CE2900"/>
    <w:rPr>
      <w:rFonts w:ascii="News Gothic MT" w:eastAsiaTheme="majorEastAsia" w:hAnsi="News Gothic MT" w:cstheme="majorBidi"/>
      <w:b/>
      <w:bCs/>
      <w:iCs/>
      <w:color w:val="404040"/>
    </w:rPr>
  </w:style>
  <w:style w:type="character" w:customStyle="1" w:styleId="Kop5Teken">
    <w:name w:val="Kop 5 Teken"/>
    <w:basedOn w:val="Standaardalinea-lettertype"/>
    <w:link w:val="Kop5"/>
    <w:uiPriority w:val="9"/>
    <w:rsid w:val="00CE2900"/>
    <w:rPr>
      <w:rFonts w:ascii="News Gothic MT" w:eastAsiaTheme="majorEastAsia" w:hAnsi="News Gothic MT" w:cstheme="majorBidi"/>
      <w:b/>
      <w:color w:val="404040"/>
      <w:sz w:val="20"/>
    </w:rPr>
  </w:style>
  <w:style w:type="paragraph" w:styleId="Geenafstand">
    <w:name w:val="No Spacing"/>
    <w:uiPriority w:val="1"/>
    <w:qFormat/>
    <w:rsid w:val="00CE2900"/>
    <w:rPr>
      <w:rFonts w:ascii="News Gothic MT" w:hAnsi="News Gothic MT"/>
      <w:sz w:val="20"/>
    </w:rPr>
  </w:style>
  <w:style w:type="character" w:customStyle="1" w:styleId="Kop6Teken">
    <w:name w:val="Kop 6 Teken"/>
    <w:basedOn w:val="Standaardalinea-lettertype"/>
    <w:link w:val="Kop6"/>
    <w:uiPriority w:val="9"/>
    <w:rsid w:val="003304DA"/>
    <w:rPr>
      <w:rFonts w:ascii="News Gothic MT" w:eastAsiaTheme="majorEastAsia" w:hAnsi="News Gothic MT" w:cstheme="majorBidi"/>
      <w:b/>
      <w:i/>
      <w:iCs/>
      <w:color w:val="404040"/>
      <w:sz w:val="20"/>
    </w:rPr>
  </w:style>
  <w:style w:type="paragraph" w:styleId="Inhopg1">
    <w:name w:val="toc 1"/>
    <w:basedOn w:val="Normaal"/>
    <w:next w:val="Normaal"/>
    <w:autoRedefine/>
    <w:uiPriority w:val="39"/>
    <w:unhideWhenUsed/>
    <w:rsid w:val="003304DA"/>
  </w:style>
  <w:style w:type="paragraph" w:styleId="Inhopg2">
    <w:name w:val="toc 2"/>
    <w:basedOn w:val="Normaal"/>
    <w:next w:val="Normaal"/>
    <w:autoRedefine/>
    <w:uiPriority w:val="39"/>
    <w:unhideWhenUsed/>
    <w:rsid w:val="003304DA"/>
    <w:pPr>
      <w:ind w:left="200"/>
    </w:pPr>
  </w:style>
  <w:style w:type="paragraph" w:styleId="Inhopg3">
    <w:name w:val="toc 3"/>
    <w:basedOn w:val="Normaal"/>
    <w:next w:val="Normaal"/>
    <w:autoRedefine/>
    <w:uiPriority w:val="39"/>
    <w:unhideWhenUsed/>
    <w:rsid w:val="003304DA"/>
    <w:pPr>
      <w:ind w:left="400"/>
    </w:pPr>
  </w:style>
  <w:style w:type="paragraph" w:styleId="Inhopg4">
    <w:name w:val="toc 4"/>
    <w:basedOn w:val="Normaal"/>
    <w:next w:val="Normaal"/>
    <w:autoRedefine/>
    <w:uiPriority w:val="39"/>
    <w:unhideWhenUsed/>
    <w:rsid w:val="003304DA"/>
    <w:pPr>
      <w:ind w:left="600"/>
    </w:pPr>
  </w:style>
  <w:style w:type="paragraph" w:styleId="Inhopg5">
    <w:name w:val="toc 5"/>
    <w:basedOn w:val="Normaal"/>
    <w:next w:val="Normaal"/>
    <w:autoRedefine/>
    <w:uiPriority w:val="39"/>
    <w:unhideWhenUsed/>
    <w:rsid w:val="003304DA"/>
    <w:pPr>
      <w:ind w:left="800"/>
    </w:pPr>
  </w:style>
  <w:style w:type="paragraph" w:styleId="Inhopg6">
    <w:name w:val="toc 6"/>
    <w:basedOn w:val="Normaal"/>
    <w:next w:val="Normaal"/>
    <w:autoRedefine/>
    <w:uiPriority w:val="39"/>
    <w:unhideWhenUsed/>
    <w:rsid w:val="003304DA"/>
    <w:pPr>
      <w:ind w:left="1000"/>
    </w:pPr>
  </w:style>
  <w:style w:type="paragraph" w:styleId="Inhopg7">
    <w:name w:val="toc 7"/>
    <w:basedOn w:val="Normaal"/>
    <w:next w:val="Normaal"/>
    <w:autoRedefine/>
    <w:uiPriority w:val="39"/>
    <w:unhideWhenUsed/>
    <w:rsid w:val="003304DA"/>
    <w:pPr>
      <w:ind w:left="1200"/>
    </w:pPr>
  </w:style>
  <w:style w:type="paragraph" w:styleId="Inhopg8">
    <w:name w:val="toc 8"/>
    <w:basedOn w:val="Normaal"/>
    <w:next w:val="Normaal"/>
    <w:autoRedefine/>
    <w:uiPriority w:val="39"/>
    <w:unhideWhenUsed/>
    <w:rsid w:val="003304DA"/>
    <w:pPr>
      <w:ind w:left="1400"/>
    </w:pPr>
  </w:style>
  <w:style w:type="paragraph" w:styleId="Inhopg9">
    <w:name w:val="toc 9"/>
    <w:basedOn w:val="Normaal"/>
    <w:next w:val="Normaal"/>
    <w:autoRedefine/>
    <w:uiPriority w:val="39"/>
    <w:unhideWhenUsed/>
    <w:rsid w:val="003304DA"/>
    <w:pPr>
      <w:ind w:left="1600"/>
    </w:pPr>
  </w:style>
  <w:style w:type="character" w:customStyle="1" w:styleId="Kop7Teken">
    <w:name w:val="Kop 7 Teken"/>
    <w:basedOn w:val="Standaardalinea-lettertype"/>
    <w:link w:val="Kop7"/>
    <w:uiPriority w:val="9"/>
    <w:rsid w:val="003304DA"/>
    <w:rPr>
      <w:rFonts w:asciiTheme="majorHAnsi" w:eastAsiaTheme="majorEastAsia" w:hAnsiTheme="majorHAnsi" w:cstheme="majorBidi"/>
      <w:i/>
      <w:iCs/>
      <w:color w:val="404040" w:themeColor="text1" w:themeTint="BF"/>
      <w:sz w:val="20"/>
    </w:rPr>
  </w:style>
  <w:style w:type="paragraph" w:styleId="Lijstalinea">
    <w:name w:val="List Paragraph"/>
    <w:basedOn w:val="Normaal"/>
    <w:uiPriority w:val="34"/>
    <w:qFormat/>
    <w:rsid w:val="00573310"/>
    <w:pPr>
      <w:ind w:left="720"/>
      <w:contextualSpacing/>
    </w:pPr>
  </w:style>
  <w:style w:type="character" w:styleId="Hyperlink">
    <w:name w:val="Hyperlink"/>
    <w:basedOn w:val="Standaardalinea-lettertype"/>
    <w:uiPriority w:val="99"/>
    <w:unhideWhenUsed/>
    <w:rsid w:val="003E0A54"/>
    <w:rPr>
      <w:color w:val="0000FF" w:themeColor="hyperlink"/>
      <w:u w:val="single"/>
    </w:rPr>
  </w:style>
  <w:style w:type="character" w:styleId="Paginanummer">
    <w:name w:val="page number"/>
    <w:basedOn w:val="Standaardalinea-lettertype"/>
    <w:uiPriority w:val="99"/>
    <w:semiHidden/>
    <w:unhideWhenUsed/>
    <w:rsid w:val="003E0A54"/>
  </w:style>
  <w:style w:type="paragraph" w:styleId="Lijstmetafbeeldingen">
    <w:name w:val="table of figures"/>
    <w:basedOn w:val="Normaal"/>
    <w:next w:val="Normaal"/>
    <w:uiPriority w:val="99"/>
    <w:unhideWhenUsed/>
    <w:rsid w:val="00507075"/>
  </w:style>
  <w:style w:type="paragraph" w:customStyle="1" w:styleId="TableFigureTitle">
    <w:name w:val="Table &amp; Figure Title"/>
    <w:basedOn w:val="Normaal"/>
    <w:next w:val="Normaal"/>
    <w:qFormat/>
    <w:rsid w:val="00507075"/>
    <w:rPr>
      <w:b/>
      <w:lang w:eastAsia="fr-FR"/>
    </w:rPr>
  </w:style>
  <w:style w:type="table" w:styleId="Lichtearcering-accent1">
    <w:name w:val="Light Shading Accent 1"/>
    <w:basedOn w:val="Standaardtabel"/>
    <w:uiPriority w:val="60"/>
    <w:rsid w:val="00817D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1">
    <w:name w:val="Light List Accent 1"/>
    <w:basedOn w:val="Standaardtabel"/>
    <w:uiPriority w:val="61"/>
    <w:rsid w:val="008A2DF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
    <w:name w:val="Light List"/>
    <w:basedOn w:val="Standaardtabel"/>
    <w:uiPriority w:val="61"/>
    <w:rsid w:val="008A2DF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9982">
      <w:bodyDiv w:val="1"/>
      <w:marLeft w:val="0"/>
      <w:marRight w:val="0"/>
      <w:marTop w:val="0"/>
      <w:marBottom w:val="0"/>
      <w:divBdr>
        <w:top w:val="none" w:sz="0" w:space="0" w:color="auto"/>
        <w:left w:val="none" w:sz="0" w:space="0" w:color="auto"/>
        <w:bottom w:val="none" w:sz="0" w:space="0" w:color="auto"/>
        <w:right w:val="none" w:sz="0" w:space="0" w:color="auto"/>
      </w:divBdr>
    </w:div>
    <w:div w:id="711805777">
      <w:bodyDiv w:val="1"/>
      <w:marLeft w:val="0"/>
      <w:marRight w:val="0"/>
      <w:marTop w:val="0"/>
      <w:marBottom w:val="0"/>
      <w:divBdr>
        <w:top w:val="none" w:sz="0" w:space="0" w:color="auto"/>
        <w:left w:val="none" w:sz="0" w:space="0" w:color="auto"/>
        <w:bottom w:val="none" w:sz="0" w:space="0" w:color="auto"/>
        <w:right w:val="none" w:sz="0" w:space="0" w:color="auto"/>
      </w:divBdr>
    </w:div>
    <w:div w:id="832061697">
      <w:bodyDiv w:val="1"/>
      <w:marLeft w:val="0"/>
      <w:marRight w:val="0"/>
      <w:marTop w:val="0"/>
      <w:marBottom w:val="0"/>
      <w:divBdr>
        <w:top w:val="none" w:sz="0" w:space="0" w:color="auto"/>
        <w:left w:val="none" w:sz="0" w:space="0" w:color="auto"/>
        <w:bottom w:val="none" w:sz="0" w:space="0" w:color="auto"/>
        <w:right w:val="none" w:sz="0" w:space="0" w:color="auto"/>
      </w:divBdr>
    </w:div>
    <w:div w:id="1671834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bahamastradeinfo.gov.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B340-AD00-0147-AA58-06CC6A5C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385</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GloballyCool</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van der Kooij</dc:creator>
  <cp:lastModifiedBy>Alfons Van Duijvenbode</cp:lastModifiedBy>
  <cp:revision>2</cp:revision>
  <cp:lastPrinted>2017-03-17T13:31:00Z</cp:lastPrinted>
  <dcterms:created xsi:type="dcterms:W3CDTF">2017-03-21T22:50:00Z</dcterms:created>
  <dcterms:modified xsi:type="dcterms:W3CDTF">2017-03-21T22:50:00Z</dcterms:modified>
</cp:coreProperties>
</file>